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rsidR="0084560F" w:rsidRPr="001E35B5" w:rsidP="00C13D6C">
      <w:pPr>
        <w:pStyle w:val="ChapterTitle"/>
        <w:keepNext w:val="0"/>
        <w:widowControl w:val="0"/>
        <w:spacing w:before="0" w:after="0"/>
        <w:rPr>
          <w:u w:val="single"/>
        </w:rPr>
      </w:pPr>
      <w:r w:rsidRPr="001E35B5">
        <w:rPr>
          <w:noProof/>
          <w:u w:val="single"/>
        </w:rPr>
        <w:t>Programme national FAMI</w:t>
      </w:r>
    </w:p>
    <w:p w:rsidR="0084560F" w:rsidP="00C13D6C">
      <w:pPr>
        <w:spacing w:before="0" w:after="0"/>
      </w:pPr>
    </w:p>
    <w:p w:rsidR="0084560F" w:rsidP="00C13D6C">
      <w:pPr>
        <w:spacing w:before="0" w:after="0"/>
        <w:jc w:val="center"/>
        <w:rPr>
          <w:b/>
          <w:u w:val="single"/>
        </w:rPr>
      </w:pPr>
      <w:r w:rsidRPr="00590825">
        <w:rPr>
          <w:b/>
          <w:noProof/>
          <w:u w:val="single"/>
        </w:rPr>
        <w:t>IDENTIFICATION DES AUTORITÉS DÉSIGNÉES</w:t>
      </w:r>
    </w:p>
    <w:p w:rsidR="0084560F" w:rsidRPr="00590825" w:rsidP="00C13D6C">
      <w:pPr>
        <w:spacing w:before="0" w:after="0"/>
        <w:jc w:val="left"/>
        <w:rPr>
          <w:b/>
        </w:rPr>
      </w:pPr>
    </w:p>
    <w:p w:rsidR="0084560F" w:rsidRPr="001E35B5" w:rsidP="00C13D6C">
      <w:pPr>
        <w:pStyle w:val="Heading2"/>
        <w:numPr>
          <w:ilvl w:val="0"/>
          <w:numId w:val="0"/>
        </w:numPr>
        <w:spacing w:before="0" w:after="0"/>
        <w:jc w:val="left"/>
      </w:pPr>
      <w:bookmarkStart w:id="0" w:name="_Toc256000000"/>
      <w:bookmarkStart w:id="1" w:name="_Toc256000034"/>
      <w:bookmarkStart w:id="2" w:name="_Toc256000092"/>
      <w:bookmarkStart w:id="3" w:name="_Toc256000007"/>
      <w:r>
        <w:rPr>
          <w:noProof/>
        </w:rPr>
        <w:t>Autorités compétentes responsables des systèmes de gestion et de contrôle</w:t>
      </w:r>
      <w:bookmarkEnd w:id="3"/>
      <w:bookmarkEnd w:id="2"/>
      <w:bookmarkEnd w:id="1"/>
      <w:bookmarkEnd w:id="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944"/>
        <w:gridCol w:w="2014"/>
        <w:gridCol w:w="1372"/>
        <w:gridCol w:w="1165"/>
        <w:gridCol w:w="1978"/>
        <w:gridCol w:w="921"/>
        <w:gridCol w:w="1967"/>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84560F" w:rsidRPr="0038170F" w:rsidP="00C13D6C">
            <w:pPr>
              <w:suppressAutoHyphens/>
              <w:spacing w:before="0" w:after="0"/>
              <w:jc w:val="center"/>
              <w:rPr>
                <w:b/>
                <w:sz w:val="14"/>
                <w:szCs w:val="14"/>
              </w:rPr>
            </w:pPr>
            <w:r w:rsidRPr="0038170F">
              <w:rPr>
                <w:b/>
                <w:noProof/>
                <w:sz w:val="14"/>
                <w:szCs w:val="14"/>
              </w:rPr>
              <w:t>Autorité responsable</w:t>
            </w:r>
          </w:p>
        </w:tc>
        <w:tc>
          <w:tcPr/>
          <w:p w:rsidR="0084560F" w:rsidRPr="0038170F" w:rsidP="00C13D6C">
            <w:pPr>
              <w:suppressAutoHyphens/>
              <w:spacing w:before="0" w:after="0"/>
              <w:jc w:val="center"/>
              <w:rPr>
                <w:b/>
                <w:sz w:val="14"/>
                <w:szCs w:val="14"/>
              </w:rPr>
            </w:pPr>
            <w:r w:rsidRPr="0038170F">
              <w:rPr>
                <w:b/>
                <w:noProof/>
                <w:sz w:val="14"/>
                <w:szCs w:val="14"/>
              </w:rPr>
              <w:t>Nom de l’autorité</w:t>
            </w:r>
          </w:p>
        </w:tc>
        <w:tc>
          <w:tcPr/>
          <w:p w:rsidR="0084560F" w:rsidRPr="0038170F" w:rsidP="00C13D6C">
            <w:pPr>
              <w:suppressAutoHyphens/>
              <w:spacing w:before="0" w:after="0"/>
              <w:jc w:val="center"/>
              <w:rPr>
                <w:b/>
                <w:sz w:val="14"/>
                <w:szCs w:val="14"/>
              </w:rPr>
            </w:pPr>
            <w:r w:rsidRPr="0038170F">
              <w:rPr>
                <w:b/>
                <w:noProof/>
                <w:sz w:val="14"/>
                <w:szCs w:val="14"/>
              </w:rPr>
              <w:t>Chef de l’autorité</w:t>
            </w:r>
          </w:p>
        </w:tc>
        <w:tc>
          <w:tcPr/>
          <w:p w:rsidR="0084560F" w:rsidRPr="0038170F" w:rsidP="00C13D6C">
            <w:pPr>
              <w:suppressAutoHyphens/>
              <w:spacing w:before="0" w:after="0"/>
              <w:jc w:val="center"/>
              <w:rPr>
                <w:b/>
                <w:sz w:val="14"/>
                <w:szCs w:val="14"/>
              </w:rPr>
            </w:pPr>
            <w:r w:rsidRPr="0038170F">
              <w:rPr>
                <w:b/>
                <w:noProof/>
                <w:sz w:val="14"/>
                <w:szCs w:val="14"/>
              </w:rPr>
              <w:t>Adresse</w:t>
            </w:r>
          </w:p>
        </w:tc>
        <w:tc>
          <w:tcPr/>
          <w:p w:rsidR="0084560F" w:rsidRPr="0038170F" w:rsidP="00C13D6C">
            <w:pPr>
              <w:suppressAutoHyphens/>
              <w:spacing w:before="0" w:after="0"/>
              <w:jc w:val="center"/>
              <w:rPr>
                <w:b/>
                <w:sz w:val="14"/>
                <w:szCs w:val="14"/>
              </w:rPr>
            </w:pPr>
            <w:r w:rsidRPr="0038170F">
              <w:rPr>
                <w:b/>
                <w:noProof/>
                <w:sz w:val="14"/>
                <w:szCs w:val="14"/>
              </w:rPr>
              <w:t>Adresse courrier électronique</w:t>
            </w:r>
          </w:p>
        </w:tc>
        <w:tc>
          <w:tcPr>
            <w:shd w:val="clear" w:color="auto" w:fill="auto"/>
          </w:tcPr>
          <w:p w:rsidR="0084560F" w:rsidRPr="0038170F" w:rsidP="00C13D6C">
            <w:pPr>
              <w:suppressAutoHyphens/>
              <w:spacing w:before="0" w:after="0"/>
              <w:jc w:val="center"/>
              <w:rPr>
                <w:b/>
                <w:color w:val="FF0000"/>
                <w:sz w:val="14"/>
                <w:szCs w:val="14"/>
                <w:lang w:val="pl-PL"/>
              </w:rPr>
            </w:pPr>
            <w:r w:rsidRPr="0038170F">
              <w:rPr>
                <w:b/>
                <w:noProof/>
                <w:sz w:val="14"/>
                <w:szCs w:val="14"/>
              </w:rPr>
              <w:t>Date de désignation</w:t>
            </w:r>
          </w:p>
        </w:tc>
        <w:tc>
          <w:tcPr>
            <w:shd w:val="clear" w:color="auto" w:fill="auto"/>
          </w:tcPr>
          <w:p w:rsidR="0084560F" w:rsidRPr="0038170F" w:rsidP="00C13D6C">
            <w:pPr>
              <w:suppressAutoHyphens/>
              <w:spacing w:before="0" w:after="0"/>
              <w:jc w:val="center"/>
              <w:rPr>
                <w:b/>
                <w:color w:val="FF0000"/>
                <w:sz w:val="14"/>
                <w:szCs w:val="14"/>
                <w:lang w:val="pl-PL"/>
              </w:rPr>
            </w:pPr>
            <w:r w:rsidRPr="0038170F">
              <w:rPr>
                <w:b/>
                <w:noProof/>
                <w:sz w:val="14"/>
                <w:szCs w:val="14"/>
                <w:lang w:val="pl-PL"/>
              </w:rPr>
              <w:t>Activités déléguées</w:t>
            </w:r>
          </w:p>
        </w:tc>
      </w:tr>
      <w:tr w:rsidTr="00376681">
        <w:tblPrEx>
          <w:tblW w:w="5000" w:type="pct"/>
          <w:tblInd w:w="108" w:type="dxa"/>
          <w:tblLook w:val="0020"/>
        </w:tblPrEx>
        <w:tc>
          <w:tcPr>
            <w:shd w:val="clear" w:color="auto" w:fill="auto"/>
          </w:tcPr>
          <w:p w:rsidR="0084560F" w:rsidRPr="0038170F" w:rsidP="00C13D6C">
            <w:pPr>
              <w:suppressAutoHyphens/>
              <w:spacing w:before="0" w:after="0"/>
              <w:jc w:val="left"/>
              <w:rPr>
                <w:sz w:val="14"/>
                <w:szCs w:val="14"/>
              </w:rPr>
            </w:pPr>
            <w:r w:rsidRPr="0038170F">
              <w:rPr>
                <w:noProof/>
                <w:sz w:val="14"/>
                <w:szCs w:val="14"/>
              </w:rPr>
              <w:t>Autorité responsable</w:t>
            </w:r>
          </w:p>
        </w:tc>
        <w:tc>
          <w:tcPr/>
          <w:p w:rsidR="0084560F" w:rsidRPr="0038170F" w:rsidP="00C13D6C">
            <w:pPr>
              <w:suppressAutoHyphens/>
              <w:spacing w:before="0" w:after="0"/>
              <w:jc w:val="left"/>
              <w:rPr>
                <w:sz w:val="14"/>
                <w:szCs w:val="14"/>
              </w:rPr>
            </w:pPr>
            <w:r w:rsidRPr="0038170F">
              <w:rPr>
                <w:noProof/>
                <w:sz w:val="14"/>
                <w:szCs w:val="14"/>
              </w:rPr>
              <w:t>Federal Public Service Home Affairs - Unit European Funds</w:t>
            </w:r>
          </w:p>
        </w:tc>
        <w:tc>
          <w:tcPr/>
          <w:p w:rsidR="0084560F" w:rsidRPr="0038170F" w:rsidP="00C13D6C">
            <w:pPr>
              <w:suppressAutoHyphens/>
              <w:spacing w:before="0" w:after="0"/>
              <w:jc w:val="left"/>
              <w:rPr>
                <w:sz w:val="14"/>
                <w:szCs w:val="14"/>
              </w:rPr>
            </w:pPr>
            <w:r w:rsidRPr="0038170F">
              <w:rPr>
                <w:noProof/>
                <w:sz w:val="14"/>
                <w:szCs w:val="14"/>
              </w:rPr>
              <w:t>Secretary General of FPS Home Affairs</w:t>
            </w:r>
          </w:p>
        </w:tc>
        <w:tc>
          <w:tcPr/>
          <w:p w:rsidR="0084560F" w:rsidRPr="0038170F" w:rsidP="00C13D6C">
            <w:pPr>
              <w:suppressAutoHyphens/>
              <w:spacing w:before="0" w:after="0"/>
              <w:jc w:val="left"/>
              <w:rPr>
                <w:sz w:val="14"/>
                <w:szCs w:val="14"/>
              </w:rPr>
            </w:pPr>
            <w:r w:rsidRPr="0038170F">
              <w:rPr>
                <w:noProof/>
                <w:sz w:val="14"/>
                <w:szCs w:val="14"/>
              </w:rPr>
              <w:t>Leuvenseweg 1, 1000 Brussels</w:t>
            </w:r>
          </w:p>
        </w:tc>
        <w:tc>
          <w:tcPr/>
          <w:p w:rsidR="0084560F" w:rsidRPr="0038170F" w:rsidP="00C13D6C">
            <w:pPr>
              <w:suppressAutoHyphens/>
              <w:spacing w:before="0" w:after="0"/>
              <w:jc w:val="left"/>
              <w:rPr>
                <w:sz w:val="14"/>
                <w:szCs w:val="14"/>
              </w:rPr>
            </w:pPr>
            <w:r w:rsidRPr="0038170F">
              <w:rPr>
                <w:noProof/>
                <w:sz w:val="14"/>
                <w:szCs w:val="14"/>
              </w:rPr>
              <w:t>AMIF-ISF@ibz.eu</w:t>
            </w:r>
          </w:p>
        </w:tc>
        <w:tc>
          <w:tcPr>
            <w:shd w:val="clear" w:color="auto" w:fill="auto"/>
          </w:tcPr>
          <w:p w:rsidR="0084560F" w:rsidRPr="0038170F" w:rsidP="00C13D6C">
            <w:pPr>
              <w:suppressAutoHyphens/>
              <w:spacing w:before="0" w:after="0"/>
              <w:jc w:val="left"/>
              <w:rPr>
                <w:sz w:val="14"/>
                <w:szCs w:val="14"/>
              </w:rPr>
            </w:pPr>
            <w:r w:rsidRPr="0038170F">
              <w:rPr>
                <w:noProof/>
                <w:sz w:val="14"/>
                <w:szCs w:val="14"/>
              </w:rPr>
              <w:t>15 mars 2015</w:t>
            </w:r>
          </w:p>
        </w:tc>
        <w:tc>
          <w:tcPr>
            <w:shd w:val="clear" w:color="auto" w:fill="auto"/>
          </w:tcPr>
          <w:p w:rsidR="0084560F" w:rsidRPr="0038170F" w:rsidP="00C13D6C">
            <w:pPr>
              <w:suppressAutoHyphens/>
              <w:spacing w:before="0" w:after="0"/>
              <w:jc w:val="left"/>
              <w:rPr>
                <w:sz w:val="14"/>
                <w:szCs w:val="14"/>
              </w:rPr>
            </w:pPr>
          </w:p>
        </w:tc>
      </w:tr>
      <w:tr w:rsidTr="00376681">
        <w:tblPrEx>
          <w:tblW w:w="5000" w:type="pct"/>
          <w:tblInd w:w="108" w:type="dxa"/>
          <w:tblLook w:val="0020"/>
        </w:tblPrEx>
        <w:tc>
          <w:tcPr>
            <w:shd w:val="clear" w:color="auto" w:fill="auto"/>
          </w:tcPr>
          <w:p w:rsidR="0084560F" w:rsidRPr="0038170F" w:rsidP="00C13D6C">
            <w:pPr>
              <w:suppressAutoHyphens/>
              <w:spacing w:before="0" w:after="0"/>
              <w:jc w:val="left"/>
              <w:rPr>
                <w:sz w:val="14"/>
                <w:szCs w:val="14"/>
              </w:rPr>
            </w:pPr>
            <w:r w:rsidRPr="0038170F">
              <w:rPr>
                <w:noProof/>
                <w:sz w:val="14"/>
                <w:szCs w:val="14"/>
              </w:rPr>
              <w:t>Autorité d'audit</w:t>
            </w:r>
          </w:p>
        </w:tc>
        <w:tc>
          <w:tcPr/>
          <w:p w:rsidR="0084560F" w:rsidRPr="0038170F" w:rsidP="00C13D6C">
            <w:pPr>
              <w:suppressAutoHyphens/>
              <w:spacing w:before="0" w:after="0"/>
              <w:jc w:val="left"/>
              <w:rPr>
                <w:sz w:val="14"/>
                <w:szCs w:val="14"/>
              </w:rPr>
            </w:pPr>
            <w:r w:rsidRPr="0038170F">
              <w:rPr>
                <w:noProof/>
                <w:sz w:val="14"/>
                <w:szCs w:val="14"/>
              </w:rPr>
              <w:t>Inspectorate of Finance</w:t>
            </w:r>
          </w:p>
        </w:tc>
        <w:tc>
          <w:tcPr/>
          <w:p w:rsidR="0084560F" w:rsidRPr="0038170F" w:rsidP="00C13D6C">
            <w:pPr>
              <w:suppressAutoHyphens/>
              <w:spacing w:before="0" w:after="0"/>
              <w:jc w:val="left"/>
              <w:rPr>
                <w:sz w:val="14"/>
                <w:szCs w:val="14"/>
              </w:rPr>
            </w:pPr>
            <w:r w:rsidRPr="0038170F">
              <w:rPr>
                <w:noProof/>
                <w:sz w:val="14"/>
                <w:szCs w:val="14"/>
              </w:rPr>
              <w:t>Superintendant</w:t>
            </w:r>
          </w:p>
        </w:tc>
        <w:tc>
          <w:tcPr/>
          <w:p w:rsidR="0084560F" w:rsidRPr="0038170F" w:rsidP="00C13D6C">
            <w:pPr>
              <w:suppressAutoHyphens/>
              <w:spacing w:before="0" w:after="0"/>
              <w:jc w:val="left"/>
              <w:rPr>
                <w:sz w:val="14"/>
                <w:szCs w:val="14"/>
              </w:rPr>
            </w:pPr>
            <w:r w:rsidRPr="0038170F">
              <w:rPr>
                <w:noProof/>
                <w:sz w:val="14"/>
                <w:szCs w:val="14"/>
              </w:rPr>
              <w:t>De Lignestraat 37, 1000 Brussels</w:t>
            </w:r>
          </w:p>
        </w:tc>
        <w:tc>
          <w:tcPr/>
          <w:p w:rsidR="0084560F" w:rsidRPr="0038170F" w:rsidP="00C13D6C">
            <w:pPr>
              <w:suppressAutoHyphens/>
              <w:spacing w:before="0" w:after="0"/>
              <w:jc w:val="left"/>
              <w:rPr>
                <w:sz w:val="14"/>
                <w:szCs w:val="14"/>
              </w:rPr>
            </w:pPr>
            <w:r w:rsidRPr="0038170F">
              <w:rPr>
                <w:noProof/>
                <w:sz w:val="14"/>
                <w:szCs w:val="14"/>
              </w:rPr>
              <w:t>pierre.reynders@inspfin.fed.be</w:t>
            </w:r>
          </w:p>
        </w:tc>
        <w:tc>
          <w:tcPr>
            <w:shd w:val="clear" w:color="auto" w:fill="auto"/>
          </w:tcPr>
          <w:p w:rsidR="0084560F" w:rsidRPr="0038170F" w:rsidP="00C13D6C">
            <w:pPr>
              <w:suppressAutoHyphens/>
              <w:spacing w:before="0" w:after="0"/>
              <w:jc w:val="left"/>
              <w:rPr>
                <w:sz w:val="14"/>
                <w:szCs w:val="14"/>
              </w:rPr>
            </w:pPr>
          </w:p>
        </w:tc>
        <w:tc>
          <w:tcPr>
            <w:shd w:val="clear" w:color="auto" w:fill="auto"/>
          </w:tcPr>
          <w:p w:rsidR="0084560F" w:rsidRPr="0038170F" w:rsidP="00C13D6C">
            <w:pPr>
              <w:suppressAutoHyphens/>
              <w:spacing w:before="0" w:after="0"/>
              <w:jc w:val="left"/>
              <w:rPr>
                <w:sz w:val="14"/>
                <w:szCs w:val="14"/>
              </w:rPr>
            </w:pPr>
          </w:p>
        </w:tc>
      </w:tr>
      <w:tr w:rsidTr="00376681">
        <w:tblPrEx>
          <w:tblW w:w="5000" w:type="pct"/>
          <w:tblInd w:w="108" w:type="dxa"/>
          <w:tblLook w:val="0020"/>
        </w:tblPrEx>
        <w:tc>
          <w:tcPr>
            <w:shd w:val="clear" w:color="auto" w:fill="auto"/>
          </w:tcPr>
          <w:p w:rsidR="0084560F" w:rsidRPr="0038170F" w:rsidP="00C13D6C">
            <w:pPr>
              <w:suppressAutoHyphens/>
              <w:spacing w:before="0" w:after="0"/>
              <w:jc w:val="left"/>
              <w:rPr>
                <w:sz w:val="14"/>
                <w:szCs w:val="14"/>
              </w:rPr>
            </w:pPr>
            <w:r w:rsidRPr="0038170F">
              <w:rPr>
                <w:noProof/>
                <w:sz w:val="14"/>
                <w:szCs w:val="14"/>
              </w:rPr>
              <w:t>Autorité déléguée</w:t>
            </w:r>
          </w:p>
        </w:tc>
        <w:tc>
          <w:tcPr/>
          <w:p w:rsidR="0084560F" w:rsidRPr="0038170F" w:rsidP="00C13D6C">
            <w:pPr>
              <w:suppressAutoHyphens/>
              <w:spacing w:before="0" w:after="0"/>
              <w:jc w:val="left"/>
              <w:rPr>
                <w:sz w:val="14"/>
                <w:szCs w:val="14"/>
              </w:rPr>
            </w:pPr>
            <w:r w:rsidRPr="0038170F">
              <w:rPr>
                <w:noProof/>
                <w:sz w:val="14"/>
                <w:szCs w:val="14"/>
              </w:rPr>
              <w:t>European Social Fund Agency Flanders</w:t>
            </w:r>
          </w:p>
        </w:tc>
        <w:tc>
          <w:tcPr/>
          <w:p w:rsidR="0084560F" w:rsidRPr="0038170F" w:rsidP="00C13D6C">
            <w:pPr>
              <w:suppressAutoHyphens/>
              <w:spacing w:before="0" w:after="0"/>
              <w:jc w:val="left"/>
              <w:rPr>
                <w:sz w:val="14"/>
                <w:szCs w:val="14"/>
              </w:rPr>
            </w:pPr>
            <w:r w:rsidRPr="0038170F">
              <w:rPr>
                <w:noProof/>
                <w:sz w:val="14"/>
                <w:szCs w:val="14"/>
              </w:rPr>
              <w:t>tbd</w:t>
            </w:r>
          </w:p>
        </w:tc>
        <w:tc>
          <w:tcPr/>
          <w:p w:rsidR="0084560F" w:rsidRPr="0038170F" w:rsidP="00C13D6C">
            <w:pPr>
              <w:suppressAutoHyphens/>
              <w:spacing w:before="0" w:after="0"/>
              <w:jc w:val="left"/>
              <w:rPr>
                <w:sz w:val="14"/>
                <w:szCs w:val="14"/>
              </w:rPr>
            </w:pPr>
          </w:p>
        </w:tc>
        <w:tc>
          <w:tcPr/>
          <w:p w:rsidR="0084560F" w:rsidRPr="0038170F" w:rsidP="00C13D6C">
            <w:pPr>
              <w:suppressAutoHyphens/>
              <w:spacing w:before="0" w:after="0"/>
              <w:jc w:val="left"/>
              <w:rPr>
                <w:sz w:val="14"/>
                <w:szCs w:val="14"/>
              </w:rPr>
            </w:pPr>
            <w:r w:rsidRPr="0038170F">
              <w:rPr>
                <w:noProof/>
                <w:sz w:val="14"/>
                <w:szCs w:val="14"/>
              </w:rPr>
              <w:t>amif-isf@ibz.eu</w:t>
            </w:r>
          </w:p>
        </w:tc>
        <w:tc>
          <w:tcPr>
            <w:shd w:val="clear" w:color="auto" w:fill="auto"/>
          </w:tcPr>
          <w:p w:rsidR="0084560F" w:rsidRPr="0038170F" w:rsidP="00C13D6C">
            <w:pPr>
              <w:suppressAutoHyphens/>
              <w:spacing w:before="0" w:after="0"/>
              <w:jc w:val="left"/>
              <w:rPr>
                <w:sz w:val="14"/>
                <w:szCs w:val="14"/>
              </w:rPr>
            </w:pPr>
          </w:p>
        </w:tc>
        <w:tc>
          <w:tcPr>
            <w:shd w:val="clear" w:color="auto" w:fill="auto"/>
          </w:tcPr>
          <w:p w:rsidR="0084560F" w:rsidRPr="0038170F" w:rsidP="00C13D6C">
            <w:pPr>
              <w:suppressAutoHyphens/>
              <w:spacing w:before="0" w:after="0"/>
              <w:jc w:val="left"/>
              <w:rPr>
                <w:sz w:val="14"/>
                <w:szCs w:val="14"/>
              </w:rPr>
            </w:pPr>
            <w:r w:rsidRPr="0038170F">
              <w:rPr>
                <w:noProof/>
                <w:sz w:val="14"/>
                <w:szCs w:val="14"/>
              </w:rPr>
              <w:t>All activities that, according to the regulations, are permitted to be delegated are delegated.</w:t>
            </w:r>
          </w:p>
        </w:tc>
      </w:tr>
      <w:tr w:rsidTr="00376681">
        <w:tblPrEx>
          <w:tblW w:w="5000" w:type="pct"/>
          <w:tblInd w:w="108" w:type="dxa"/>
          <w:tblLook w:val="0020"/>
        </w:tblPrEx>
        <w:tc>
          <w:tcPr>
            <w:shd w:val="clear" w:color="auto" w:fill="auto"/>
          </w:tcPr>
          <w:p w:rsidR="0084560F" w:rsidRPr="0038170F" w:rsidP="00C13D6C">
            <w:pPr>
              <w:suppressAutoHyphens/>
              <w:spacing w:before="0" w:after="0"/>
              <w:jc w:val="left"/>
              <w:rPr>
                <w:sz w:val="14"/>
                <w:szCs w:val="14"/>
              </w:rPr>
            </w:pPr>
            <w:r w:rsidRPr="0038170F">
              <w:rPr>
                <w:noProof/>
                <w:sz w:val="14"/>
                <w:szCs w:val="14"/>
              </w:rPr>
              <w:t>Autorité déléguée</w:t>
            </w:r>
          </w:p>
        </w:tc>
        <w:tc>
          <w:tcPr/>
          <w:p w:rsidR="0084560F" w:rsidRPr="0038170F" w:rsidP="00C13D6C">
            <w:pPr>
              <w:suppressAutoHyphens/>
              <w:spacing w:before="0" w:after="0"/>
              <w:jc w:val="left"/>
              <w:rPr>
                <w:sz w:val="14"/>
                <w:szCs w:val="14"/>
              </w:rPr>
            </w:pPr>
            <w:r w:rsidRPr="0038170F">
              <w:rPr>
                <w:noProof/>
                <w:sz w:val="14"/>
                <w:szCs w:val="14"/>
              </w:rPr>
              <w:t>European Social Fund Agency French-speaking Community</w:t>
            </w:r>
          </w:p>
        </w:tc>
        <w:tc>
          <w:tcPr/>
          <w:p w:rsidR="0084560F" w:rsidRPr="0038170F" w:rsidP="00C13D6C">
            <w:pPr>
              <w:suppressAutoHyphens/>
              <w:spacing w:before="0" w:after="0"/>
              <w:jc w:val="left"/>
              <w:rPr>
                <w:sz w:val="14"/>
                <w:szCs w:val="14"/>
              </w:rPr>
            </w:pPr>
            <w:r w:rsidRPr="0038170F">
              <w:rPr>
                <w:noProof/>
                <w:sz w:val="14"/>
                <w:szCs w:val="14"/>
              </w:rPr>
              <w:t>tbd</w:t>
            </w:r>
          </w:p>
        </w:tc>
        <w:tc>
          <w:tcPr/>
          <w:p w:rsidR="0084560F" w:rsidRPr="0038170F" w:rsidP="00C13D6C">
            <w:pPr>
              <w:suppressAutoHyphens/>
              <w:spacing w:before="0" w:after="0"/>
              <w:jc w:val="left"/>
              <w:rPr>
                <w:sz w:val="14"/>
                <w:szCs w:val="14"/>
              </w:rPr>
            </w:pPr>
          </w:p>
        </w:tc>
        <w:tc>
          <w:tcPr/>
          <w:p w:rsidR="0084560F" w:rsidRPr="0038170F" w:rsidP="00C13D6C">
            <w:pPr>
              <w:suppressAutoHyphens/>
              <w:spacing w:before="0" w:after="0"/>
              <w:jc w:val="left"/>
              <w:rPr>
                <w:sz w:val="14"/>
                <w:szCs w:val="14"/>
              </w:rPr>
            </w:pPr>
            <w:r w:rsidRPr="0038170F">
              <w:rPr>
                <w:noProof/>
                <w:sz w:val="14"/>
                <w:szCs w:val="14"/>
              </w:rPr>
              <w:t>amif-isf@ibz.eu</w:t>
            </w:r>
          </w:p>
        </w:tc>
        <w:tc>
          <w:tcPr>
            <w:shd w:val="clear" w:color="auto" w:fill="auto"/>
          </w:tcPr>
          <w:p w:rsidR="0084560F" w:rsidRPr="0038170F" w:rsidP="00C13D6C">
            <w:pPr>
              <w:suppressAutoHyphens/>
              <w:spacing w:before="0" w:after="0"/>
              <w:jc w:val="left"/>
              <w:rPr>
                <w:sz w:val="14"/>
                <w:szCs w:val="14"/>
              </w:rPr>
            </w:pPr>
          </w:p>
        </w:tc>
        <w:tc>
          <w:tcPr>
            <w:shd w:val="clear" w:color="auto" w:fill="auto"/>
          </w:tcPr>
          <w:p w:rsidR="0084560F" w:rsidRPr="0038170F" w:rsidP="00C13D6C">
            <w:pPr>
              <w:suppressAutoHyphens/>
              <w:spacing w:before="0" w:after="0"/>
              <w:jc w:val="left"/>
              <w:rPr>
                <w:sz w:val="14"/>
                <w:szCs w:val="14"/>
              </w:rPr>
            </w:pPr>
            <w:r w:rsidRPr="0038170F">
              <w:rPr>
                <w:noProof/>
                <w:sz w:val="14"/>
                <w:szCs w:val="14"/>
              </w:rPr>
              <w:t>All activities that, according to the regulations, are permitted to be delegated are delegated.</w:t>
            </w:r>
          </w:p>
        </w:tc>
      </w:tr>
    </w:tbl>
    <w:p w:rsidR="0084560F" w:rsidP="00C13D6C">
      <w:pPr>
        <w:spacing w:before="0" w:after="0"/>
      </w:pPr>
    </w:p>
    <w:p w:rsidR="0084560F" w:rsidP="00C13D6C">
      <w:pPr>
        <w:pStyle w:val="Heading2"/>
        <w:numPr>
          <w:ilvl w:val="0"/>
          <w:numId w:val="0"/>
        </w:numPr>
        <w:spacing w:before="0" w:after="0"/>
        <w:jc w:val="left"/>
      </w:pPr>
      <w:bookmarkStart w:id="4" w:name="_Toc256000001"/>
      <w:bookmarkStart w:id="5" w:name="_Toc256000035"/>
      <w:bookmarkStart w:id="6" w:name="_Toc256000093"/>
      <w:bookmarkStart w:id="7" w:name="_Toc256000009"/>
      <w:r>
        <w:rPr>
          <w:noProof/>
        </w:rPr>
        <w:t>Système de gestion et de contrôle</w:t>
      </w:r>
      <w:bookmarkEnd w:id="7"/>
      <w:bookmarkEnd w:id="6"/>
      <w:bookmarkEnd w:id="5"/>
      <w:bookmarkEnd w:id="4"/>
    </w:p>
    <w:p>
      <w:pPr>
        <w:spacing w:before="0" w:after="240"/>
        <w:jc w:val="left"/>
        <w:rPr>
          <w:rFonts w:ascii="Times New Roman" w:eastAsia="Times New Roman" w:hAnsi="Times New Roman" w:cs="Times New Roman"/>
        </w:rPr>
      </w:pPr>
      <w:r>
        <w:rPr>
          <w:rFonts w:ascii="Times New Roman" w:eastAsia="Times New Roman" w:hAnsi="Times New Roman" w:cs="Times New Roman"/>
        </w:rPr>
        <w:t>The RA for AMIF located in the Federal Public Service (FPS) Home Affairs has a double structure: - Permanent Secretariat (responsible for the Management and control) - Monitoring Committee (strategic decisions). Payments will be executed by the accounting unit of the FPS, based on orders from the RA. Due to the structure of BE, there will be two DA's for matters relating to integration activities. A Memorandum Of Understanding (MOU) will be signed with these DA's, which will be the same as in the current European Fund for the integration of TCN (EIF). The RA will remain the final responsible and supervisory mechanisms will be included in the MOU. The Inspectorate of Finance will be the Audit Authority. The RA will develop, in cooperation with the AA and DA's, mechanisms to facilitate the cooperation regarding the tasks and duties of these authorities.</w:t>
      </w:r>
    </w:p>
    <w:p w:rsidR="0084560F" w:rsidRPr="00725DB1" w:rsidP="00C13D6C">
      <w:pPr>
        <w:spacing w:before="0" w:after="0"/>
      </w:pPr>
    </w:p>
    <w:p w:rsidR="0084560F" w:rsidP="00C13D6C">
      <w:pPr>
        <w:spacing w:before="0" w:after="0"/>
      </w:pPr>
      <w:r>
        <w:br w:type="page"/>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4"/>
        <w:gridCol w:w="6247"/>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rPr>
              <w:t>CCI</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2014BE65AMNP001</w:t>
            </w:r>
          </w:p>
        </w:tc>
      </w:tr>
      <w:tr w:rsidTr="00376681">
        <w:tblPrEx>
          <w:tblW w:w="5000" w:type="pct"/>
          <w:tblInd w:w="108" w:type="dxa"/>
          <w:tblLook w:val="04A0"/>
        </w:tblPrEx>
        <w:trPr>
          <w:trHeight w:val="269"/>
        </w:trPr>
        <w:tc>
          <w:tcPr>
            <w:tcBorders>
              <w:top w:val="single" w:sz="4" w:space="0" w:color="auto"/>
              <w:left w:val="single" w:sz="4" w:space="0" w:color="auto"/>
              <w:bottom w:val="single" w:sz="4" w:space="0" w:color="auto"/>
              <w:right w:val="single" w:sz="4" w:space="0" w:color="auto"/>
            </w:tcBorders>
            <w:hideMark/>
          </w:tcPr>
          <w:p w:rsidR="0084560F" w:rsidRPr="00A7239D" w:rsidP="00C13D6C">
            <w:pPr>
              <w:spacing w:before="0" w:after="0"/>
              <w:jc w:val="left"/>
            </w:pPr>
            <w:r>
              <w:rPr>
                <w:noProof/>
              </w:rPr>
              <w:t>Intitulé</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Belgium National Programme AMIF</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rPr>
              <w:t>Version</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7.0</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color w:val="000000"/>
              </w:rPr>
              <w:t>Première année</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2014</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color w:val="000000"/>
              </w:rPr>
              <w:t>Dernière année</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2020</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color w:val="000000"/>
              </w:rPr>
              <w:t>Admissible à partir du</w:t>
            </w:r>
            <w:r>
              <w:rPr>
                <w:color w:val="000000"/>
              </w:rPr>
              <w:t xml:space="preserve">  </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1 janv. 2014</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color w:val="000000"/>
              </w:rPr>
              <w:t>N° de la décision CE</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C(2019)4003</w:t>
            </w:r>
          </w:p>
        </w:tc>
      </w:tr>
      <w:tr w:rsidTr="00376681">
        <w:tblPrEx>
          <w:tblW w:w="5000" w:type="pct"/>
          <w:tblInd w:w="108" w:type="dxa"/>
          <w:tblLook w:val="04A0"/>
        </w:tblPrEx>
        <w:trPr>
          <w:trHeight w:val="138"/>
        </w:trPr>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pPr>
            <w:r>
              <w:rPr>
                <w:noProof/>
                <w:color w:val="000000"/>
              </w:rPr>
              <w:t>Date de la décision CE</w:t>
            </w:r>
          </w:p>
        </w:tc>
        <w:tc>
          <w:tcPr>
            <w:tcBorders>
              <w:top w:val="single" w:sz="4" w:space="0" w:color="auto"/>
              <w:left w:val="single" w:sz="4" w:space="0" w:color="auto"/>
              <w:bottom w:val="single" w:sz="4" w:space="0" w:color="auto"/>
              <w:right w:val="single" w:sz="4" w:space="0" w:color="auto"/>
            </w:tcBorders>
            <w:hideMark/>
          </w:tcPr>
          <w:p w:rsidR="0084560F" w:rsidP="00C13D6C">
            <w:pPr>
              <w:spacing w:before="0" w:after="0"/>
              <w:jc w:val="left"/>
              <w:rPr>
                <w:color w:val="000000"/>
              </w:rPr>
            </w:pPr>
            <w:r>
              <w:rPr>
                <w:noProof/>
                <w:color w:val="000000"/>
              </w:rPr>
              <w:t>4 juin 2019</w:t>
            </w:r>
          </w:p>
        </w:tc>
      </w:tr>
    </w:tbl>
    <w:p w:rsidR="0084560F" w:rsidRPr="00EA12D4" w:rsidP="00C13D6C">
      <w:pPr>
        <w:spacing w:before="0" w:after="0"/>
      </w:pPr>
    </w:p>
    <w:p w:rsidR="004E597F" w:rsidP="00C13D6C">
      <w:pPr>
        <w:spacing w:before="0" w:after="0"/>
        <w:rPr>
          <w:noProof/>
        </w:rPr>
      </w:pPr>
      <w:r w:rsidR="0084560F">
        <w:br w:type="page"/>
      </w:r>
      <w:r w:rsidR="0084560F">
        <w:fldChar w:fldCharType="begin"/>
      </w:r>
      <w:r w:rsidR="0084560F">
        <w:instrText xml:space="preserve"> TOC \h  Hyperlinks </w:instrText>
      </w:r>
      <w:r w:rsidR="00D50D1E">
        <w:instrText>\o "1-4"</w:instrText>
      </w:r>
      <w:r w:rsidR="00461BA0">
        <w:fldChar w:fldCharType="separate"/>
      </w:r>
    </w:p>
    <w:p>
      <w:pPr>
        <w:pStyle w:val="TOC2"/>
        <w:tabs>
          <w:tab w:val="right" w:leader="dot" w:pos="10479"/>
        </w:tabs>
        <w:rPr>
          <w:rFonts w:ascii="Calibri" w:hAnsi="Calibri"/>
          <w:noProof/>
          <w:sz w:val="22"/>
        </w:rPr>
      </w:pPr>
      <w:r>
        <w:fldChar w:fldCharType="begin"/>
      </w:r>
      <w:r>
        <w:instrText xml:space="preserve"> HYPERLINK \l "_Toc256000007" </w:instrText>
      </w:r>
      <w:r>
        <w:fldChar w:fldCharType="separate"/>
      </w:r>
      <w:r>
        <w:rPr>
          <w:rStyle w:val="Hyperlink"/>
          <w:noProof/>
        </w:rPr>
        <w:t>Autorités compétentes responsables des systèmes de gestion et de contrôle</w:t>
      </w:r>
      <w:r>
        <w:tab/>
      </w:r>
      <w:r>
        <w:fldChar w:fldCharType="begin"/>
      </w:r>
      <w:r>
        <w:instrText xml:space="preserve"> PAGEREF _Toc256000007 \h </w:instrText>
      </w:r>
      <w:r>
        <w:fldChar w:fldCharType="separate"/>
      </w:r>
      <w:r>
        <w:t>1</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"_Toc256000009" </w:instrText>
      </w:r>
      <w:r>
        <w:fldChar w:fldCharType="separate"/>
      </w:r>
      <w:r>
        <w:rPr>
          <w:rStyle w:val="Hyperlink"/>
          <w:noProof/>
        </w:rPr>
        <w:t>Système de gestion et de contrôle</w:t>
      </w:r>
      <w:r>
        <w:tab/>
      </w:r>
      <w:r>
        <w:fldChar w:fldCharType="begin"/>
      </w:r>
      <w:r>
        <w:instrText xml:space="preserve"> PAGEREF _Toc256000009 \h </w:instrText>
      </w:r>
      <w:r>
        <w:fldChar w:fldCharType="separate"/>
      </w:r>
      <w:r>
        <w:t>1</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"_Toc256000152" </w:instrText>
      </w:r>
      <w:r>
        <w:fldChar w:fldCharType="separate"/>
      </w:r>
      <w:r w:rsidRPr="00EA12D4">
        <w:rPr>
          <w:rStyle w:val="Hyperlink"/>
          <w:noProof/>
        </w:rPr>
        <w:t>1. RÉSUMÉ</w:t>
      </w:r>
      <w:r>
        <w:tab/>
      </w:r>
      <w:r>
        <w:fldChar w:fldCharType="begin"/>
      </w:r>
      <w:r>
        <w:instrText xml:space="preserve"> PAGEREF _Toc256000152 \h </w:instrText>
      </w:r>
      <w:r>
        <w:fldChar w:fldCharType="separate"/>
      </w:r>
      <w:r>
        <w:t>5</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"_Toc256000153" </w:instrText>
      </w:r>
      <w:r>
        <w:fldChar w:fldCharType="separate"/>
      </w:r>
      <w:r w:rsidRPr="00EA12D4">
        <w:rPr>
          <w:rStyle w:val="Hyperlink"/>
          <w:noProof/>
        </w:rPr>
        <w:t>2. SITUATION DE DÉPART DANS L'ÉTAT MEMBRE</w:t>
      </w:r>
      <w:r>
        <w:tab/>
      </w:r>
      <w:r>
        <w:fldChar w:fldCharType="begin"/>
      </w:r>
      <w:r>
        <w:instrText xml:space="preserve"> PAGEREF _Toc256000153 \h </w:instrText>
      </w:r>
      <w:r>
        <w:fldChar w:fldCharType="separate"/>
      </w:r>
      <w:r>
        <w:t>7</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"_Toc256000154" </w:instrText>
      </w:r>
      <w:r>
        <w:fldChar w:fldCharType="separate"/>
      </w:r>
      <w:r>
        <w:rPr>
          <w:rStyle w:val="Hyperlink"/>
          <w:noProof/>
        </w:rPr>
        <w:t>Résumé de l’état actuel depuis décembre 2013 dans l’État membre pour les domaines relevant du Fonds</w:t>
      </w:r>
      <w:r>
        <w:tab/>
      </w:r>
      <w:r>
        <w:fldChar w:fldCharType="begin"/>
      </w:r>
      <w:r>
        <w:instrText xml:space="preserve"> PAGEREF _Toc256000154 \h </w:instrText>
      </w:r>
      <w:r>
        <w:fldChar w:fldCharType="separate"/>
      </w:r>
      <w:r>
        <w:t>7</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"_Toc256000155" </w:instrText>
      </w:r>
      <w:r>
        <w:fldChar w:fldCharType="separate"/>
      </w:r>
      <w:r>
        <w:rPr>
          <w:rStyle w:val="Hyperlink"/>
          <w:noProof/>
        </w:rPr>
        <w:t>3. OBJECTIFS DU PROGRAMME</w:t>
      </w:r>
      <w:r>
        <w:tab/>
      </w:r>
      <w:r>
        <w:fldChar w:fldCharType="begin"/>
      </w:r>
      <w:r>
        <w:instrText xml:space="preserve"> PAGEREF _Toc256000155 \h </w:instrText>
      </w:r>
      <w:r>
        <w:fldChar w:fldCharType="separate"/>
      </w:r>
      <w:r>
        <w:t>13</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"_Toc256000156" </w:instrText>
      </w:r>
      <w:r>
        <w:fldChar w:fldCharType="separate"/>
      </w:r>
      <w:r w:rsidRPr="0083666D">
        <w:rPr>
          <w:rStyle w:val="Hyperlink"/>
          <w:noProof/>
        </w:rPr>
        <w:t>1</w:t>
      </w:r>
      <w:r>
        <w:rPr>
          <w:rStyle w:val="Hyperlink"/>
        </w:rPr>
        <w:t xml:space="preserve"> - </w:t>
      </w:r>
      <w:r w:rsidRPr="00CE4D5C">
        <w:rPr>
          <w:rStyle w:val="Hyperlink"/>
          <w:noProof/>
        </w:rPr>
        <w:t>Asile</w:t>
      </w:r>
      <w:r>
        <w:tab/>
      </w:r>
      <w:r>
        <w:fldChar w:fldCharType="begin"/>
      </w:r>
      <w:r>
        <w:instrText xml:space="preserve"> PAGEREF _Toc256000156 \h </w:instrText>
      </w:r>
      <w:r>
        <w:fldChar w:fldCharType="separate"/>
      </w:r>
      <w:r>
        <w:t>13</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"_Toc256000157" </w:instrText>
      </w:r>
      <w:r>
        <w:fldChar w:fldCharType="separate"/>
      </w:r>
      <w:r w:rsidRPr="00A93145">
        <w:rPr>
          <w:rStyle w:val="Hyperlink"/>
          <w:noProof/>
        </w:rPr>
        <w:t>Objectifs nationaux</w:t>
      </w:r>
      <w:r>
        <w:tab/>
      </w:r>
      <w:r>
        <w:fldChar w:fldCharType="begin"/>
      </w:r>
      <w:r>
        <w:instrText xml:space="preserve"> PAGEREF _Toc256000157 \h </w:instrText>
      </w:r>
      <w:r>
        <w:fldChar w:fldCharType="separate"/>
      </w:r>
      <w:r>
        <w:t>14</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"_Toc256000158" </w:instrText>
      </w:r>
      <w:r>
        <w:fldChar w:fldCharType="separate"/>
      </w:r>
      <w:r w:rsidRPr="00CE4D5C">
        <w:rPr>
          <w:rStyle w:val="Hyperlink"/>
          <w:noProof/>
        </w:rPr>
        <w:t>1</w:t>
      </w:r>
      <w:r w:rsidRPr="00CE4D5C">
        <w:rPr>
          <w:rStyle w:val="Hyperlink"/>
        </w:rPr>
        <w:t xml:space="preserve"> - </w:t>
      </w:r>
      <w:r w:rsidRPr="00CE4D5C">
        <w:rPr>
          <w:rStyle w:val="Hyperlink"/>
          <w:noProof/>
        </w:rPr>
        <w:t>Accueil/Asile</w:t>
      </w:r>
      <w:r>
        <w:tab/>
      </w:r>
      <w:r>
        <w:fldChar w:fldCharType="begin"/>
      </w:r>
      <w:r>
        <w:instrText xml:space="preserve"> PAGEREF _Toc256000158 \h </w:instrText>
      </w:r>
      <w:r>
        <w:fldChar w:fldCharType="separate"/>
      </w:r>
      <w:r>
        <w:t>14</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"_Toc256000159" </w:instrText>
      </w:r>
      <w:r>
        <w:fldChar w:fldCharType="separate"/>
      </w:r>
      <w:r w:rsidRPr="00CE4D5C">
        <w:rPr>
          <w:rStyle w:val="Hyperlink"/>
          <w:noProof/>
        </w:rPr>
        <w:t>2</w:t>
      </w:r>
      <w:r w:rsidRPr="00CE4D5C">
        <w:rPr>
          <w:rStyle w:val="Hyperlink"/>
        </w:rPr>
        <w:t xml:space="preserve"> - </w:t>
      </w:r>
      <w:r w:rsidRPr="00CE4D5C">
        <w:rPr>
          <w:rStyle w:val="Hyperlink"/>
          <w:noProof/>
        </w:rPr>
        <w:t>Évaluation</w:t>
      </w:r>
      <w:r>
        <w:tab/>
      </w:r>
      <w:r>
        <w:fldChar w:fldCharType="begin"/>
      </w:r>
      <w:r>
        <w:instrText xml:space="preserve"> PAGEREF _Toc256000159 \h </w:instrText>
      </w:r>
      <w:r>
        <w:fldChar w:fldCharType="separate"/>
      </w:r>
      <w:r>
        <w:t>16</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"_Toc256000160" </w:instrText>
      </w:r>
      <w:r>
        <w:fldChar w:fldCharType="separate"/>
      </w:r>
      <w:r w:rsidRPr="00CE4D5C">
        <w:rPr>
          <w:rStyle w:val="Hyperlink"/>
          <w:noProof/>
        </w:rPr>
        <w:t>3</w:t>
      </w:r>
      <w:r w:rsidRPr="00CE4D5C">
        <w:rPr>
          <w:rStyle w:val="Hyperlink"/>
        </w:rPr>
        <w:t xml:space="preserve"> - </w:t>
      </w:r>
      <w:r w:rsidRPr="00CE4D5C">
        <w:rPr>
          <w:rStyle w:val="Hyperlink"/>
          <w:noProof/>
        </w:rPr>
        <w:t>Réinstallation</w:t>
      </w:r>
      <w:r>
        <w:tab/>
      </w:r>
      <w:r>
        <w:fldChar w:fldCharType="begin"/>
      </w:r>
      <w:r>
        <w:instrText xml:space="preserve"> PAGEREF _Toc256000160 \h </w:instrText>
      </w:r>
      <w:r>
        <w:fldChar w:fldCharType="separate"/>
      </w:r>
      <w:r>
        <w:t>17</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"_Toc256000161" </w:instrText>
      </w:r>
      <w:r>
        <w:fldChar w:fldCharType="separate"/>
      </w:r>
      <w:r w:rsidRPr="00A93145">
        <w:rPr>
          <w:rStyle w:val="Hyperlink"/>
          <w:noProof/>
        </w:rPr>
        <w:t>Actions spécifiques</w:t>
      </w:r>
      <w:r>
        <w:tab/>
      </w:r>
      <w:r>
        <w:fldChar w:fldCharType="begin"/>
      </w:r>
      <w:r>
        <w:instrText xml:space="preserve"> PAGEREF _Toc256000161 \h </w:instrText>
      </w:r>
      <w:r>
        <w:fldChar w:fldCharType="separate"/>
      </w:r>
      <w:r>
        <w:t>18</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"_Toc256000162" </w:instrText>
      </w:r>
      <w:r>
        <w:fldChar w:fldCharType="separate"/>
      </w:r>
      <w:r w:rsidRPr="00CE4D5C">
        <w:rPr>
          <w:rStyle w:val="Hyperlink"/>
          <w:noProof/>
        </w:rPr>
        <w:t>1</w:t>
      </w:r>
      <w:r w:rsidRPr="00CE4D5C">
        <w:rPr>
          <w:rStyle w:val="Hyperlink"/>
          <w:lang w:val="it-IT"/>
        </w:rPr>
        <w:t xml:space="preserve"> - </w:t>
      </w:r>
      <w:r w:rsidRPr="00CE4D5C">
        <w:rPr>
          <w:rStyle w:val="Hyperlink"/>
          <w:noProof/>
        </w:rPr>
        <w:t>Centres de transit</w:t>
      </w:r>
      <w:r>
        <w:tab/>
      </w:r>
      <w:r>
        <w:fldChar w:fldCharType="begin"/>
      </w:r>
      <w:r>
        <w:instrText xml:space="preserve"> PAGEREF _Toc256000162 \h </w:instrText>
      </w:r>
      <w:r>
        <w:fldChar w:fldCharType="separate"/>
      </w:r>
      <w:r>
        <w:t>18</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"_Toc256000163" </w:instrText>
      </w:r>
      <w:r>
        <w:fldChar w:fldCharType="separate"/>
      </w:r>
      <w:r w:rsidRPr="00CE4D5C">
        <w:rPr>
          <w:rStyle w:val="Hyperlink"/>
          <w:noProof/>
        </w:rPr>
        <w:t>2</w:t>
      </w:r>
      <w:r w:rsidRPr="00CE4D5C">
        <w:rPr>
          <w:rStyle w:val="Hyperlink"/>
          <w:lang w:val="it-IT"/>
        </w:rPr>
        <w:t xml:space="preserve"> - </w:t>
      </w:r>
      <w:r w:rsidRPr="00CE4D5C">
        <w:rPr>
          <w:rStyle w:val="Hyperlink"/>
          <w:noProof/>
        </w:rPr>
        <w:t>Accès aux procédure d’asile</w:t>
      </w:r>
      <w:r>
        <w:tab/>
      </w:r>
      <w:r>
        <w:fldChar w:fldCharType="begin"/>
      </w:r>
      <w:r>
        <w:instrText xml:space="preserve"> PAGEREF _Toc256000163 \h </w:instrText>
      </w:r>
      <w:r>
        <w:fldChar w:fldCharType="separate"/>
      </w:r>
      <w:r>
        <w:t>18</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"_Toc256000164" </w:instrText>
      </w:r>
      <w:r>
        <w:fldChar w:fldCharType="separate"/>
      </w:r>
      <w:r w:rsidRPr="0083666D">
        <w:rPr>
          <w:rStyle w:val="Hyperlink"/>
          <w:noProof/>
        </w:rPr>
        <w:t>2</w:t>
      </w:r>
      <w:r>
        <w:rPr>
          <w:rStyle w:val="Hyperlink"/>
        </w:rPr>
        <w:t xml:space="preserve"> - </w:t>
      </w:r>
      <w:r w:rsidRPr="00CE4D5C">
        <w:rPr>
          <w:rStyle w:val="Hyperlink"/>
          <w:noProof/>
        </w:rPr>
        <w:t>Intégration/migration légale</w:t>
      </w:r>
      <w:r>
        <w:tab/>
      </w:r>
      <w:r>
        <w:fldChar w:fldCharType="begin"/>
      </w:r>
      <w:r>
        <w:instrText xml:space="preserve"> PAGEREF _Toc256000164 \h </w:instrText>
      </w:r>
      <w:r>
        <w:fldChar w:fldCharType="separate"/>
      </w:r>
      <w:r>
        <w:t>18</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"_Toc256000165" </w:instrText>
      </w:r>
      <w:r>
        <w:fldChar w:fldCharType="separate"/>
      </w:r>
      <w:r w:rsidRPr="00A93145">
        <w:rPr>
          <w:rStyle w:val="Hyperlink"/>
          <w:noProof/>
        </w:rPr>
        <w:t>Objectifs nationaux</w:t>
      </w:r>
      <w:r>
        <w:tab/>
      </w:r>
      <w:r>
        <w:fldChar w:fldCharType="begin"/>
      </w:r>
      <w:r>
        <w:instrText xml:space="preserve"> PAGEREF _Toc256000165 \h </w:instrText>
      </w:r>
      <w:r>
        <w:fldChar w:fldCharType="separate"/>
      </w:r>
      <w:r>
        <w:t>20</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"_Toc256000166" </w:instrText>
      </w:r>
      <w:r>
        <w:fldChar w:fldCharType="separate"/>
      </w:r>
      <w:r w:rsidRPr="00CE4D5C">
        <w:rPr>
          <w:rStyle w:val="Hyperlink"/>
          <w:noProof/>
        </w:rPr>
        <w:t>1</w:t>
      </w:r>
      <w:r w:rsidRPr="00CE4D5C">
        <w:rPr>
          <w:rStyle w:val="Hyperlink"/>
        </w:rPr>
        <w:t xml:space="preserve"> - </w:t>
      </w:r>
      <w:r w:rsidRPr="00CE4D5C">
        <w:rPr>
          <w:rStyle w:val="Hyperlink"/>
          <w:noProof/>
        </w:rPr>
        <w:t>Migration légale</w:t>
      </w:r>
      <w:r>
        <w:tab/>
      </w:r>
      <w:r>
        <w:fldChar w:fldCharType="begin"/>
      </w:r>
      <w:r>
        <w:instrText xml:space="preserve"> PAGEREF _Toc256000166 \h </w:instrText>
      </w:r>
      <w:r>
        <w:fldChar w:fldCharType="separate"/>
      </w:r>
      <w:r>
        <w:t>20</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"_Toc256000167" </w:instrText>
      </w:r>
      <w:r>
        <w:fldChar w:fldCharType="separate"/>
      </w:r>
      <w:r w:rsidRPr="00CE4D5C">
        <w:rPr>
          <w:rStyle w:val="Hyperlink"/>
          <w:noProof/>
        </w:rPr>
        <w:t>2</w:t>
      </w:r>
      <w:r w:rsidRPr="00CE4D5C">
        <w:rPr>
          <w:rStyle w:val="Hyperlink"/>
        </w:rPr>
        <w:t xml:space="preserve"> - </w:t>
      </w:r>
      <w:r w:rsidRPr="00CE4D5C">
        <w:rPr>
          <w:rStyle w:val="Hyperlink"/>
          <w:noProof/>
        </w:rPr>
        <w:t>Intégration</w:t>
      </w:r>
      <w:r>
        <w:tab/>
      </w:r>
      <w:r>
        <w:fldChar w:fldCharType="begin"/>
      </w:r>
      <w:r>
        <w:instrText xml:space="preserve"> PAGEREF _Toc256000167 \h </w:instrText>
      </w:r>
      <w:r>
        <w:fldChar w:fldCharType="separate"/>
      </w:r>
      <w:r>
        <w:t>20</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"_Toc256000168" </w:instrText>
      </w:r>
      <w:r>
        <w:fldChar w:fldCharType="separate"/>
      </w:r>
      <w:r w:rsidRPr="00CE4D5C">
        <w:rPr>
          <w:rStyle w:val="Hyperlink"/>
          <w:noProof/>
        </w:rPr>
        <w:t>3</w:t>
      </w:r>
      <w:r w:rsidRPr="00CE4D5C">
        <w:rPr>
          <w:rStyle w:val="Hyperlink"/>
        </w:rPr>
        <w:t xml:space="preserve"> - </w:t>
      </w:r>
      <w:r w:rsidRPr="00CE4D5C">
        <w:rPr>
          <w:rStyle w:val="Hyperlink"/>
          <w:noProof/>
        </w:rPr>
        <w:t>Capacité</w:t>
      </w:r>
      <w:r>
        <w:tab/>
      </w:r>
      <w:r>
        <w:fldChar w:fldCharType="begin"/>
      </w:r>
      <w:r>
        <w:instrText xml:space="preserve"> PAGEREF _Toc256000168 \h </w:instrText>
      </w:r>
      <w:r>
        <w:fldChar w:fldCharType="separate"/>
      </w:r>
      <w:r>
        <w:t>22</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"_Toc256000169" </w:instrText>
      </w:r>
      <w:r>
        <w:fldChar w:fldCharType="separate"/>
      </w:r>
      <w:r w:rsidRPr="00A93145">
        <w:rPr>
          <w:rStyle w:val="Hyperlink"/>
          <w:noProof/>
        </w:rPr>
        <w:t>Actions spécifiques</w:t>
      </w:r>
      <w:r>
        <w:tab/>
      </w:r>
      <w:r>
        <w:fldChar w:fldCharType="begin"/>
      </w:r>
      <w:r>
        <w:instrText xml:space="preserve"> PAGEREF _Toc256000169 \h </w:instrText>
      </w:r>
      <w:r>
        <w:fldChar w:fldCharType="separate"/>
      </w:r>
      <w:r>
        <w:t>23</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"_Toc256000170" </w:instrText>
      </w:r>
      <w:r>
        <w:fldChar w:fldCharType="separate"/>
      </w:r>
      <w:r w:rsidRPr="00CE4D5C">
        <w:rPr>
          <w:rStyle w:val="Hyperlink"/>
          <w:noProof/>
        </w:rPr>
        <w:t>3</w:t>
      </w:r>
      <w:r w:rsidRPr="00CE4D5C">
        <w:rPr>
          <w:rStyle w:val="Hyperlink"/>
          <w:lang w:val="it-IT"/>
        </w:rPr>
        <w:t xml:space="preserve"> - </w:t>
      </w:r>
      <w:r w:rsidRPr="00CE4D5C">
        <w:rPr>
          <w:rStyle w:val="Hyperlink"/>
          <w:noProof/>
        </w:rPr>
        <w:t>Initiatives conjointes</w:t>
      </w:r>
      <w:r>
        <w:tab/>
      </w:r>
      <w:r>
        <w:fldChar w:fldCharType="begin"/>
      </w:r>
      <w:r>
        <w:instrText xml:space="preserve"> PAGEREF _Toc256000170 \h </w:instrText>
      </w:r>
      <w:r>
        <w:fldChar w:fldCharType="separate"/>
      </w:r>
      <w:r>
        <w:t>23</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"_Toc256000171" </w:instrText>
      </w:r>
      <w:r>
        <w:fldChar w:fldCharType="separate"/>
      </w:r>
      <w:r w:rsidRPr="00CE4D5C">
        <w:rPr>
          <w:rStyle w:val="Hyperlink"/>
          <w:noProof/>
        </w:rPr>
        <w:t>4</w:t>
      </w:r>
      <w:r w:rsidRPr="00CE4D5C">
        <w:rPr>
          <w:rStyle w:val="Hyperlink"/>
          <w:lang w:val="it-IT"/>
        </w:rPr>
        <w:t xml:space="preserve"> - </w:t>
      </w:r>
      <w:r w:rsidRPr="00CE4D5C">
        <w:rPr>
          <w:rStyle w:val="Hyperlink"/>
          <w:noProof/>
        </w:rPr>
        <w:t>Mineurs non accompagnés</w:t>
      </w:r>
      <w:r>
        <w:tab/>
      </w:r>
      <w:r>
        <w:fldChar w:fldCharType="begin"/>
      </w:r>
      <w:r>
        <w:instrText xml:space="preserve"> PAGEREF _Toc256000171 \h </w:instrText>
      </w:r>
      <w:r>
        <w:fldChar w:fldCharType="separate"/>
      </w:r>
      <w:r>
        <w:t>23</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"_Toc256000172" </w:instrText>
      </w:r>
      <w:r>
        <w:fldChar w:fldCharType="separate"/>
      </w:r>
      <w:r w:rsidRPr="00CE4D5C">
        <w:rPr>
          <w:rStyle w:val="Hyperlink"/>
          <w:noProof/>
        </w:rPr>
        <w:t>8</w:t>
      </w:r>
      <w:r w:rsidRPr="00CE4D5C">
        <w:rPr>
          <w:rStyle w:val="Hyperlink"/>
          <w:lang w:val="it-IT"/>
        </w:rPr>
        <w:t xml:space="preserve"> - </w:t>
      </w:r>
      <w:r w:rsidRPr="00CE4D5C">
        <w:rPr>
          <w:rStyle w:val="Hyperlink"/>
          <w:noProof/>
        </w:rPr>
        <w:t>Migration légale</w:t>
      </w:r>
      <w:r>
        <w:tab/>
      </w:r>
      <w:r>
        <w:fldChar w:fldCharType="begin"/>
      </w:r>
      <w:r>
        <w:instrText xml:space="preserve"> PAGEREF _Toc256000172 \h </w:instrText>
      </w:r>
      <w:r>
        <w:fldChar w:fldCharType="separate"/>
      </w:r>
      <w:r>
        <w:t>23</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"_Toc256000173" </w:instrText>
      </w:r>
      <w:r>
        <w:fldChar w:fldCharType="separate"/>
      </w:r>
      <w:r w:rsidRPr="0083666D">
        <w:rPr>
          <w:rStyle w:val="Hyperlink"/>
          <w:noProof/>
        </w:rPr>
        <w:t>3</w:t>
      </w:r>
      <w:r>
        <w:rPr>
          <w:rStyle w:val="Hyperlink"/>
        </w:rPr>
        <w:t xml:space="preserve"> - </w:t>
      </w:r>
      <w:r w:rsidRPr="00CE4D5C">
        <w:rPr>
          <w:rStyle w:val="Hyperlink"/>
          <w:noProof/>
        </w:rPr>
        <w:t>Retour</w:t>
      </w:r>
      <w:r>
        <w:tab/>
      </w:r>
      <w:r>
        <w:fldChar w:fldCharType="begin"/>
      </w:r>
      <w:r>
        <w:instrText xml:space="preserve"> PAGEREF _Toc256000173 \h </w:instrText>
      </w:r>
      <w:r>
        <w:fldChar w:fldCharType="separate"/>
      </w:r>
      <w:r>
        <w:t>23</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"_Toc256000174" </w:instrText>
      </w:r>
      <w:r>
        <w:fldChar w:fldCharType="separate"/>
      </w:r>
      <w:r w:rsidRPr="00A93145">
        <w:rPr>
          <w:rStyle w:val="Hyperlink"/>
          <w:noProof/>
        </w:rPr>
        <w:t>Objectifs nationaux</w:t>
      </w:r>
      <w:r>
        <w:tab/>
      </w:r>
      <w:r>
        <w:fldChar w:fldCharType="begin"/>
      </w:r>
      <w:r>
        <w:instrText xml:space="preserve"> PAGEREF _Toc256000174 \h </w:instrText>
      </w:r>
      <w:r>
        <w:fldChar w:fldCharType="separate"/>
      </w:r>
      <w:r>
        <w:t>25</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"_Toc256000175" </w:instrText>
      </w:r>
      <w:r>
        <w:fldChar w:fldCharType="separate"/>
      </w:r>
      <w:r w:rsidRPr="00CE4D5C">
        <w:rPr>
          <w:rStyle w:val="Hyperlink"/>
          <w:noProof/>
        </w:rPr>
        <w:t>1</w:t>
      </w:r>
      <w:r w:rsidRPr="00CE4D5C">
        <w:rPr>
          <w:rStyle w:val="Hyperlink"/>
        </w:rPr>
        <w:t xml:space="preserve"> - </w:t>
      </w:r>
      <w:r w:rsidRPr="00CE4D5C">
        <w:rPr>
          <w:rStyle w:val="Hyperlink"/>
          <w:noProof/>
        </w:rPr>
        <w:t>Mesures d’accompagnement</w:t>
      </w:r>
      <w:r>
        <w:tab/>
      </w:r>
      <w:r>
        <w:fldChar w:fldCharType="begin"/>
      </w:r>
      <w:r>
        <w:instrText xml:space="preserve"> PAGEREF _Toc256000175 \h </w:instrText>
      </w:r>
      <w:r>
        <w:fldChar w:fldCharType="separate"/>
      </w:r>
      <w:r>
        <w:t>25</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"_Toc256000176" </w:instrText>
      </w:r>
      <w:r>
        <w:fldChar w:fldCharType="separate"/>
      </w:r>
      <w:r w:rsidRPr="00CE4D5C">
        <w:rPr>
          <w:rStyle w:val="Hyperlink"/>
          <w:noProof/>
        </w:rPr>
        <w:t>2</w:t>
      </w:r>
      <w:r w:rsidRPr="00CE4D5C">
        <w:rPr>
          <w:rStyle w:val="Hyperlink"/>
        </w:rPr>
        <w:t xml:space="preserve"> - </w:t>
      </w:r>
      <w:r w:rsidRPr="00CE4D5C">
        <w:rPr>
          <w:rStyle w:val="Hyperlink"/>
          <w:noProof/>
        </w:rPr>
        <w:t>Mesures de retour</w:t>
      </w:r>
      <w:r>
        <w:tab/>
      </w:r>
      <w:r>
        <w:fldChar w:fldCharType="begin"/>
      </w:r>
      <w:r>
        <w:instrText xml:space="preserve"> PAGEREF _Toc256000176 \h </w:instrText>
      </w:r>
      <w:r>
        <w:fldChar w:fldCharType="separate"/>
      </w:r>
      <w:r>
        <w:t>25</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"_Toc256000177" </w:instrText>
      </w:r>
      <w:r>
        <w:fldChar w:fldCharType="separate"/>
      </w:r>
      <w:r w:rsidRPr="00CE4D5C">
        <w:rPr>
          <w:rStyle w:val="Hyperlink"/>
          <w:noProof/>
        </w:rPr>
        <w:t>3</w:t>
      </w:r>
      <w:r w:rsidRPr="00CE4D5C">
        <w:rPr>
          <w:rStyle w:val="Hyperlink"/>
        </w:rPr>
        <w:t xml:space="preserve"> - </w:t>
      </w:r>
      <w:r w:rsidRPr="00CE4D5C">
        <w:rPr>
          <w:rStyle w:val="Hyperlink"/>
          <w:noProof/>
        </w:rPr>
        <w:t>Coopération</w:t>
      </w:r>
      <w:r>
        <w:tab/>
      </w:r>
      <w:r>
        <w:fldChar w:fldCharType="begin"/>
      </w:r>
      <w:r>
        <w:instrText xml:space="preserve"> PAGEREF _Toc256000177 \h </w:instrText>
      </w:r>
      <w:r>
        <w:fldChar w:fldCharType="separate"/>
      </w:r>
      <w:r>
        <w:t>27</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"_Toc256000178" </w:instrText>
      </w:r>
      <w:r>
        <w:fldChar w:fldCharType="separate"/>
      </w:r>
      <w:r w:rsidRPr="00A93145">
        <w:rPr>
          <w:rStyle w:val="Hyperlink"/>
          <w:noProof/>
        </w:rPr>
        <w:t>Actions spécifiques</w:t>
      </w:r>
      <w:r>
        <w:tab/>
      </w:r>
      <w:r>
        <w:fldChar w:fldCharType="begin"/>
      </w:r>
      <w:r>
        <w:instrText xml:space="preserve"> PAGEREF _Toc256000178 \h </w:instrText>
      </w:r>
      <w:r>
        <w:fldChar w:fldCharType="separate"/>
      </w:r>
      <w:r>
        <w:t>28</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"_Toc256000179" </w:instrText>
      </w:r>
      <w:r>
        <w:fldChar w:fldCharType="separate"/>
      </w:r>
      <w:r w:rsidRPr="00CE4D5C">
        <w:rPr>
          <w:rStyle w:val="Hyperlink"/>
          <w:noProof/>
        </w:rPr>
        <w:t>5</w:t>
      </w:r>
      <w:r w:rsidRPr="00CE4D5C">
        <w:rPr>
          <w:rStyle w:val="Hyperlink"/>
          <w:lang w:val="it-IT"/>
        </w:rPr>
        <w:t xml:space="preserve"> - </w:t>
      </w:r>
      <w:r w:rsidRPr="00CE4D5C">
        <w:rPr>
          <w:rStyle w:val="Hyperlink"/>
          <w:noProof/>
        </w:rPr>
        <w:t>Opérations conjointes de retour</w:t>
      </w:r>
      <w:r>
        <w:tab/>
      </w:r>
      <w:r>
        <w:fldChar w:fldCharType="begin"/>
      </w:r>
      <w:r>
        <w:instrText xml:space="preserve"> PAGEREF _Toc256000179 \h </w:instrText>
      </w:r>
      <w:r>
        <w:fldChar w:fldCharType="separate"/>
      </w:r>
      <w:r>
        <w:t>28</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"_Toc256000180" </w:instrText>
      </w:r>
      <w:r>
        <w:fldChar w:fldCharType="separate"/>
      </w:r>
      <w:r w:rsidRPr="00CE4D5C">
        <w:rPr>
          <w:rStyle w:val="Hyperlink"/>
          <w:noProof/>
        </w:rPr>
        <w:t>6</w:t>
      </w:r>
      <w:r w:rsidRPr="00CE4D5C">
        <w:rPr>
          <w:rStyle w:val="Hyperlink"/>
          <w:lang w:val="it-IT"/>
        </w:rPr>
        <w:t xml:space="preserve"> - </w:t>
      </w:r>
      <w:r w:rsidRPr="00CE4D5C">
        <w:rPr>
          <w:rStyle w:val="Hyperlink"/>
          <w:noProof/>
        </w:rPr>
        <w:t>Projets conjoints de réintégration</w:t>
      </w:r>
      <w:r>
        <w:tab/>
      </w:r>
      <w:r>
        <w:fldChar w:fldCharType="begin"/>
      </w:r>
      <w:r>
        <w:instrText xml:space="preserve"> PAGEREF _Toc256000180 \h </w:instrText>
      </w:r>
      <w:r>
        <w:fldChar w:fldCharType="separate"/>
      </w:r>
      <w:r>
        <w:t>29</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"_Toc256000181" </w:instrText>
      </w:r>
      <w:r>
        <w:fldChar w:fldCharType="separate"/>
      </w:r>
      <w:r w:rsidRPr="00CE4D5C">
        <w:rPr>
          <w:rStyle w:val="Hyperlink"/>
          <w:noProof/>
        </w:rPr>
        <w:t>7</w:t>
      </w:r>
      <w:r w:rsidRPr="00CE4D5C">
        <w:rPr>
          <w:rStyle w:val="Hyperlink"/>
          <w:lang w:val="it-IT"/>
        </w:rPr>
        <w:t xml:space="preserve"> - </w:t>
      </w:r>
      <w:r w:rsidRPr="00CE4D5C">
        <w:rPr>
          <w:rStyle w:val="Hyperlink"/>
          <w:noProof/>
        </w:rPr>
        <w:t>Unité familiale et réintégration des mineurs non accompagnés</w:t>
      </w:r>
      <w:r>
        <w:tab/>
      </w:r>
      <w:r>
        <w:fldChar w:fldCharType="begin"/>
      </w:r>
      <w:r>
        <w:instrText xml:space="preserve"> PAGEREF _Toc256000181 \h </w:instrText>
      </w:r>
      <w:r>
        <w:fldChar w:fldCharType="separate"/>
      </w:r>
      <w:r>
        <w:t>30</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"_Toc256000182" </w:instrText>
      </w:r>
      <w:r>
        <w:fldChar w:fldCharType="separate"/>
      </w:r>
      <w:r w:rsidRPr="0083666D">
        <w:rPr>
          <w:rStyle w:val="Hyperlink"/>
          <w:noProof/>
        </w:rPr>
        <w:t>4</w:t>
      </w:r>
      <w:r>
        <w:rPr>
          <w:rStyle w:val="Hyperlink"/>
        </w:rPr>
        <w:t xml:space="preserve"> - </w:t>
      </w:r>
      <w:r w:rsidRPr="00CE4D5C">
        <w:rPr>
          <w:rStyle w:val="Hyperlink"/>
          <w:noProof/>
        </w:rPr>
        <w:t>Solidarité</w:t>
      </w:r>
      <w:r>
        <w:tab/>
      </w:r>
      <w:r>
        <w:fldChar w:fldCharType="begin"/>
      </w:r>
      <w:r>
        <w:instrText xml:space="preserve"> PAGEREF _Toc256000182 \h </w:instrText>
      </w:r>
      <w:r>
        <w:fldChar w:fldCharType="separate"/>
      </w:r>
      <w:r>
        <w:t>30</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"_Toc256000183" </w:instrText>
      </w:r>
      <w:r>
        <w:fldChar w:fldCharType="separate"/>
      </w:r>
      <w:r w:rsidRPr="00A93145">
        <w:rPr>
          <w:rStyle w:val="Hyperlink"/>
          <w:noProof/>
        </w:rPr>
        <w:t>Objectifs nationaux</w:t>
      </w:r>
      <w:r>
        <w:tab/>
      </w:r>
      <w:r>
        <w:fldChar w:fldCharType="begin"/>
      </w:r>
      <w:r>
        <w:instrText xml:space="preserve"> PAGEREF _Toc256000183 \h </w:instrText>
      </w:r>
      <w:r>
        <w:fldChar w:fldCharType="separate"/>
      </w:r>
      <w:r>
        <w:t>30</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"_Toc256000184" </w:instrText>
      </w:r>
      <w:r>
        <w:fldChar w:fldCharType="separate"/>
      </w:r>
      <w:r w:rsidRPr="00A93145">
        <w:rPr>
          <w:rStyle w:val="Hyperlink"/>
          <w:noProof/>
        </w:rPr>
        <w:t>Actions spécifiques</w:t>
      </w:r>
      <w:r>
        <w:tab/>
      </w:r>
      <w:r>
        <w:fldChar w:fldCharType="begin"/>
      </w:r>
      <w:r>
        <w:instrText xml:space="preserve"> PAGEREF _Toc256000184 \h </w:instrText>
      </w:r>
      <w:r>
        <w:fldChar w:fldCharType="separate"/>
      </w:r>
      <w:r>
        <w:t>30</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"_Toc256000185" </w:instrText>
      </w:r>
      <w:r>
        <w:fldChar w:fldCharType="separate"/>
      </w:r>
      <w:r w:rsidRPr="00F9367D">
        <w:rPr>
          <w:rStyle w:val="Hyperlink"/>
          <w:noProof/>
        </w:rPr>
        <w:t>CALENDRIER INDICATIF</w:t>
      </w:r>
      <w:r>
        <w:tab/>
      </w:r>
      <w:r>
        <w:fldChar w:fldCharType="begin"/>
      </w:r>
      <w:r>
        <w:instrText xml:space="preserve"> PAGEREF _Toc256000185 \h </w:instrText>
      </w:r>
      <w:r>
        <w:fldChar w:fldCharType="separate"/>
      </w:r>
      <w:r>
        <w:t>31</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"_Toc256000186" </w:instrText>
      </w:r>
      <w:r>
        <w:fldChar w:fldCharType="separate"/>
      </w:r>
      <w:r w:rsidRPr="00EA12D4">
        <w:rPr>
          <w:rStyle w:val="Hyperlink"/>
          <w:noProof/>
        </w:rPr>
        <w:t>4. CAS SPÉCIAUX</w:t>
      </w:r>
      <w:r>
        <w:tab/>
      </w:r>
      <w:r>
        <w:fldChar w:fldCharType="begin"/>
      </w:r>
      <w:r>
        <w:instrText xml:space="preserve"> PAGEREF _Toc256000186 \h </w:instrText>
      </w:r>
      <w:r>
        <w:fldChar w:fldCharType="separate"/>
      </w:r>
      <w:r>
        <w:t>32</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"_Toc256000187" </w:instrText>
      </w:r>
      <w:r>
        <w:fldChar w:fldCharType="separate"/>
      </w:r>
      <w:r w:rsidRPr="006C630D">
        <w:rPr>
          <w:rStyle w:val="Hyperlink"/>
          <w:noProof/>
        </w:rPr>
        <w:t>4.1 Réinstallation</w:t>
      </w:r>
      <w:r>
        <w:tab/>
      </w:r>
      <w:r>
        <w:fldChar w:fldCharType="begin"/>
      </w:r>
      <w:r>
        <w:instrText xml:space="preserve"> PAGEREF _Toc256000187 \h </w:instrText>
      </w:r>
      <w:r>
        <w:fldChar w:fldCharType="separate"/>
      </w:r>
      <w:r>
        <w:t>32</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"_Toc256000188" </w:instrText>
      </w:r>
      <w:r>
        <w:fldChar w:fldCharType="separate"/>
      </w:r>
      <w:r w:rsidRPr="004B1639">
        <w:rPr>
          <w:rStyle w:val="Hyperlink"/>
          <w:noProof/>
        </w:rPr>
        <w:t>Justification du nombre de personnes à réinstaller</w:t>
      </w:r>
      <w:r>
        <w:tab/>
      </w:r>
      <w:r>
        <w:fldChar w:fldCharType="begin"/>
      </w:r>
      <w:r>
        <w:instrText xml:space="preserve"> PAGEREF _Toc256000188 \h </w:instrText>
      </w:r>
      <w:r>
        <w:fldChar w:fldCharType="separate"/>
      </w:r>
      <w:r>
        <w:t>32</w:t>
      </w:r>
      <w:r>
        <w:fldChar w:fldCharType="end"/>
      </w:r>
      <w:r>
        <w:fldChar w:fldCharType="end"/>
      </w:r>
    </w:p>
    <w:p>
      <w:pPr>
        <w:pStyle w:val="TOC4"/>
        <w:tabs>
          <w:tab w:val="right" w:leader="dot" w:pos="10479"/>
        </w:tabs>
        <w:rPr>
          <w:rFonts w:ascii="Calibri" w:hAnsi="Calibri"/>
          <w:noProof/>
          <w:sz w:val="22"/>
        </w:rPr>
      </w:pPr>
      <w:r>
        <w:fldChar w:fldCharType="begin"/>
      </w:r>
      <w:r>
        <w:instrText xml:space="preserve"> HYPERLINK \l "_Toc256000189" </w:instrText>
      </w:r>
      <w:r>
        <w:fldChar w:fldCharType="separate"/>
      </w:r>
      <w:r w:rsidRPr="004B1639">
        <w:rPr>
          <w:rStyle w:val="Hyperlink"/>
          <w:noProof/>
        </w:rPr>
        <w:t>Plan d’engagement</w:t>
      </w:r>
      <w:r>
        <w:tab/>
      </w:r>
      <w:r>
        <w:fldChar w:fldCharType="begin"/>
      </w:r>
      <w:r>
        <w:instrText xml:space="preserve"> PAGEREF _Toc256000189 \h </w:instrText>
      </w:r>
      <w:r>
        <w:fldChar w:fldCharType="separate"/>
      </w:r>
      <w:r>
        <w:t>32</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"_Toc256000190" </w:instrText>
      </w:r>
      <w:r>
        <w:fldChar w:fldCharType="separate"/>
      </w:r>
      <w:r w:rsidRPr="006C630D">
        <w:rPr>
          <w:rStyle w:val="Hyperlink"/>
          <w:noProof/>
        </w:rPr>
        <w:t>4.2 Transfert et relocalisation</w:t>
      </w:r>
      <w:r>
        <w:tab/>
      </w:r>
      <w:r>
        <w:fldChar w:fldCharType="begin"/>
      </w:r>
      <w:r>
        <w:instrText xml:space="preserve"> PAGEREF _Toc256000190 \h </w:instrText>
      </w:r>
      <w:r>
        <w:fldChar w:fldCharType="separate"/>
      </w:r>
      <w:r>
        <w:t>33</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"_Toc256000191" </w:instrText>
      </w:r>
      <w:r>
        <w:fldChar w:fldCharType="separate"/>
      </w:r>
      <w:r w:rsidRPr="004123E4">
        <w:rPr>
          <w:rStyle w:val="Hyperlink"/>
          <w:noProof/>
        </w:rPr>
        <w:t>4.3 Admission depuis la Turquie (2016/1754)</w:t>
      </w:r>
      <w:r>
        <w:tab/>
      </w:r>
      <w:r>
        <w:fldChar w:fldCharType="begin"/>
      </w:r>
      <w:r>
        <w:instrText xml:space="preserve"> PAGEREF _Toc256000191 \h </w:instrText>
      </w:r>
      <w:r>
        <w:fldChar w:fldCharType="separate"/>
      </w:r>
      <w:r>
        <w:t>34</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"_Toc256000192" </w:instrText>
      </w:r>
      <w:r>
        <w:fldChar w:fldCharType="separate"/>
      </w:r>
      <w:r>
        <w:rPr>
          <w:rStyle w:val="Hyperlink"/>
          <w:noProof/>
        </w:rPr>
        <w:t>5. INDICATEURS COMMUNS ET INDICATEURS SPÉCIFIQUES AU PROGRAMME</w:t>
      </w:r>
      <w:r>
        <w:tab/>
      </w:r>
      <w:r>
        <w:fldChar w:fldCharType="begin"/>
      </w:r>
      <w:r>
        <w:instrText xml:space="preserve"> PAGEREF _Toc256000192 \h </w:instrText>
      </w:r>
      <w:r>
        <w:fldChar w:fldCharType="separate"/>
      </w:r>
      <w:r>
        <w:t>35</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"_Toc256000193" </w:instrText>
      </w:r>
      <w:r>
        <w:fldChar w:fldCharType="separate"/>
      </w:r>
      <w:r w:rsidRPr="00EA12D4">
        <w:rPr>
          <w:rStyle w:val="Hyperlink"/>
          <w:noProof/>
        </w:rPr>
        <w:t>6. CADRE POUR LA PRÉPARATION ET LA MISE EN ŒUVRE DU PROGRAMME PAR L’ÉTAT MEMBRE</w:t>
      </w:r>
      <w:r>
        <w:tab/>
      </w:r>
      <w:r>
        <w:fldChar w:fldCharType="begin"/>
      </w:r>
      <w:r>
        <w:instrText xml:space="preserve"> PAGEREF _Toc256000193 \h </w:instrText>
      </w:r>
      <w:r>
        <w:fldChar w:fldCharType="separate"/>
      </w:r>
      <w:r>
        <w:t>36</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"_Toc256000194" </w:instrText>
      </w:r>
      <w:r>
        <w:fldChar w:fldCharType="separate"/>
      </w:r>
      <w:r w:rsidRPr="006E08BD">
        <w:rPr>
          <w:rStyle w:val="Hyperlink"/>
          <w:noProof/>
        </w:rPr>
        <w:t>6.1 Association des partenaires à la préparation du programme</w:t>
      </w:r>
      <w:r>
        <w:tab/>
      </w:r>
      <w:r>
        <w:fldChar w:fldCharType="begin"/>
      </w:r>
      <w:r>
        <w:instrText xml:space="preserve"> PAGEREF _Toc256000194 \h </w:instrText>
      </w:r>
      <w:r>
        <w:fldChar w:fldCharType="separate"/>
      </w:r>
      <w:r>
        <w:t>36</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"_Toc256000195" </w:instrText>
      </w:r>
      <w:r>
        <w:fldChar w:fldCharType="separate"/>
      </w:r>
      <w:r w:rsidRPr="00EA12D4">
        <w:rPr>
          <w:rStyle w:val="Hyperlink"/>
          <w:noProof/>
        </w:rPr>
        <w:t>6.2 Comité de suivi</w:t>
      </w:r>
      <w:r>
        <w:tab/>
      </w:r>
      <w:r>
        <w:fldChar w:fldCharType="begin"/>
      </w:r>
      <w:r>
        <w:instrText xml:space="preserve"> PAGEREF _Toc256000195 \h </w:instrText>
      </w:r>
      <w:r>
        <w:fldChar w:fldCharType="separate"/>
      </w:r>
      <w:r>
        <w:t>36</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"_Toc256000196" </w:instrText>
      </w:r>
      <w:r>
        <w:fldChar w:fldCharType="separate"/>
      </w:r>
      <w:r w:rsidRPr="00EA12D4">
        <w:rPr>
          <w:rStyle w:val="Hyperlink"/>
          <w:noProof/>
        </w:rPr>
        <w:t>6.3 Cadre commun de suivi et d’évaluation</w:t>
      </w:r>
      <w:r>
        <w:tab/>
      </w:r>
      <w:r>
        <w:fldChar w:fldCharType="begin"/>
      </w:r>
      <w:r>
        <w:instrText xml:space="preserve"> PAGEREF _Toc256000196 \h </w:instrText>
      </w:r>
      <w:r>
        <w:fldChar w:fldCharType="separate"/>
      </w:r>
      <w:r>
        <w:t>37</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"_Toc256000197" </w:instrText>
      </w:r>
      <w:r>
        <w:fldChar w:fldCharType="separate"/>
      </w:r>
      <w:r w:rsidRPr="00EA12D4">
        <w:rPr>
          <w:rStyle w:val="Hyperlink"/>
          <w:noProof/>
        </w:rPr>
        <w:t>6.4 Association du partenariat à la mise en œuvre, au suivi et à l’évaluation du programme national</w:t>
      </w:r>
      <w:r>
        <w:tab/>
      </w:r>
      <w:r>
        <w:fldChar w:fldCharType="begin"/>
      </w:r>
      <w:r>
        <w:instrText xml:space="preserve"> PAGEREF _Toc256000197 \h </w:instrText>
      </w:r>
      <w:r>
        <w:fldChar w:fldCharType="separate"/>
      </w:r>
      <w:r>
        <w:t>37</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"_Toc256000198" </w:instrText>
      </w:r>
      <w:r>
        <w:fldChar w:fldCharType="separate"/>
      </w:r>
      <w:r w:rsidRPr="00EA12D4">
        <w:rPr>
          <w:rStyle w:val="Hyperlink"/>
          <w:noProof/>
        </w:rPr>
        <w:t>6.5 Information et publicité</w:t>
      </w:r>
      <w:r>
        <w:tab/>
      </w:r>
      <w:r>
        <w:fldChar w:fldCharType="begin"/>
      </w:r>
      <w:r>
        <w:instrText xml:space="preserve"> PAGEREF _Toc256000198 \h </w:instrText>
      </w:r>
      <w:r>
        <w:fldChar w:fldCharType="separate"/>
      </w:r>
      <w:r>
        <w:t>37</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"_Toc256000199" </w:instrText>
      </w:r>
      <w:r>
        <w:fldChar w:fldCharType="separate"/>
      </w:r>
      <w:r>
        <w:rPr>
          <w:rStyle w:val="Hyperlink"/>
          <w:noProof/>
        </w:rPr>
        <w:t>6.6 Coordination et complémentarité avec d'autres instruments</w:t>
      </w:r>
      <w:r>
        <w:tab/>
      </w:r>
      <w:r>
        <w:fldChar w:fldCharType="begin"/>
      </w:r>
      <w:r>
        <w:instrText xml:space="preserve"> PAGEREF _Toc256000199 \h </w:instrText>
      </w:r>
      <w:r>
        <w:fldChar w:fldCharType="separate"/>
      </w:r>
      <w:r>
        <w:t>38</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"_Toc256000200" </w:instrText>
      </w:r>
      <w:r>
        <w:fldChar w:fldCharType="separate"/>
      </w:r>
      <w:r w:rsidRPr="00EA12D4">
        <w:rPr>
          <w:rStyle w:val="Hyperlink"/>
          <w:noProof/>
        </w:rPr>
        <w:t>6.7 Bénéficiaires</w:t>
      </w:r>
      <w:r>
        <w:tab/>
      </w:r>
      <w:r>
        <w:fldChar w:fldCharType="begin"/>
      </w:r>
      <w:r>
        <w:instrText xml:space="preserve"> PAGEREF _Toc256000200 \h </w:instrText>
      </w:r>
      <w:r>
        <w:fldChar w:fldCharType="separate"/>
      </w:r>
      <w:r>
        <w:t>38</w:t>
      </w:r>
      <w:r>
        <w:fldChar w:fldCharType="end"/>
      </w:r>
      <w:r>
        <w:fldChar w:fldCharType="end"/>
      </w:r>
    </w:p>
    <w:p>
      <w:pPr>
        <w:pStyle w:val="TOC3"/>
        <w:tabs>
          <w:tab w:val="right" w:leader="dot" w:pos="10479"/>
        </w:tabs>
        <w:rPr>
          <w:rFonts w:ascii="Calibri" w:hAnsi="Calibri"/>
          <w:noProof/>
          <w:sz w:val="22"/>
        </w:rPr>
      </w:pPr>
      <w:r>
        <w:fldChar w:fldCharType="begin"/>
      </w:r>
      <w:r>
        <w:instrText xml:space="preserve"> HYPERLINK \l "_Toc256000201" </w:instrText>
      </w:r>
      <w:r>
        <w:fldChar w:fldCharType="separate"/>
      </w:r>
      <w:r w:rsidRPr="0021650F">
        <w:rPr>
          <w:rStyle w:val="Hyperlink"/>
          <w:noProof/>
        </w:rPr>
        <w:t>6.7.1 Liste des cinq principaux types de bénéficiaires du programme</w:t>
      </w:r>
      <w:r>
        <w:tab/>
      </w:r>
      <w:r>
        <w:fldChar w:fldCharType="begin"/>
      </w:r>
      <w:r>
        <w:instrText xml:space="preserve"> PAGEREF _Toc256000201 \h </w:instrText>
      </w:r>
      <w:r>
        <w:fldChar w:fldCharType="separate"/>
      </w:r>
      <w:r>
        <w:t>38</w:t>
      </w:r>
      <w:r>
        <w:fldChar w:fldCharType="end"/>
      </w:r>
      <w:r>
        <w:fldChar w:fldCharType="end"/>
      </w:r>
    </w:p>
    <w:p>
      <w:pPr>
        <w:pStyle w:val="TOC3"/>
        <w:tabs>
          <w:tab w:val="right" w:leader="dot" w:pos="10479"/>
        </w:tabs>
        <w:rPr>
          <w:rFonts w:ascii="Calibri" w:hAnsi="Calibri"/>
          <w:noProof/>
          <w:sz w:val="22"/>
        </w:rPr>
      </w:pPr>
      <w:r>
        <w:fldChar w:fldCharType="begin"/>
      </w:r>
      <w:r>
        <w:instrText xml:space="preserve"> HYPERLINK \l "_Toc256000202" </w:instrText>
      </w:r>
      <w:r>
        <w:fldChar w:fldCharType="separate"/>
      </w:r>
      <w:r w:rsidRPr="0021650F">
        <w:rPr>
          <w:rStyle w:val="Hyperlink"/>
          <w:noProof/>
        </w:rPr>
        <w:t>6.7.2 Attribution directe (le cas échéant)</w:t>
      </w:r>
      <w:r>
        <w:tab/>
      </w:r>
      <w:r>
        <w:fldChar w:fldCharType="begin"/>
      </w:r>
      <w:r>
        <w:instrText xml:space="preserve"> PAGEREF _Toc256000202 \h </w:instrText>
      </w:r>
      <w:r>
        <w:fldChar w:fldCharType="separate"/>
      </w:r>
      <w:r>
        <w:t>38</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"_Toc256000203" </w:instrText>
      </w:r>
      <w:r>
        <w:fldChar w:fldCharType="separate"/>
      </w:r>
      <w:r w:rsidRPr="00F76CA0">
        <w:rPr>
          <w:rStyle w:val="Hyperlink"/>
          <w:noProof/>
        </w:rPr>
        <w:t>7. PLAN DE FINANCEMENT DU PROGRAMME</w:t>
      </w:r>
      <w:r>
        <w:tab/>
      </w:r>
      <w:r>
        <w:fldChar w:fldCharType="begin"/>
      </w:r>
      <w:r>
        <w:instrText xml:space="preserve"> PAGEREF _Toc256000203 \h </w:instrText>
      </w:r>
      <w:r>
        <w:fldChar w:fldCharType="separate"/>
      </w:r>
      <w:r>
        <w:t>39</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"_Toc256000204" </w:instrText>
      </w:r>
      <w:r>
        <w:fldChar w:fldCharType="separate"/>
      </w:r>
      <w:r w:rsidRPr="00F76CA0">
        <w:rPr>
          <w:rStyle w:val="Hyperlink"/>
          <w:rFonts w:eastAsia="Arial Unicode MS"/>
          <w:noProof/>
        </w:rPr>
        <w:t>Tableau 1: Plan financier Fonds «Asile, migration et intégration»</w:t>
      </w:r>
      <w:r>
        <w:tab/>
      </w:r>
      <w:r>
        <w:fldChar w:fldCharType="begin"/>
      </w:r>
      <w:r>
        <w:instrText xml:space="preserve"> PAGEREF _Toc256000204 \h </w:instrText>
      </w:r>
      <w:r>
        <w:fldChar w:fldCharType="separate"/>
      </w:r>
      <w:r>
        <w:t>39</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"_Toc256000205" </w:instrText>
      </w:r>
      <w:r>
        <w:fldChar w:fldCharType="separate"/>
      </w:r>
      <w:r w:rsidRPr="00EA12D4">
        <w:rPr>
          <w:rStyle w:val="Hyperlink"/>
          <w:rFonts w:eastAsia="Arial Unicode MS"/>
          <w:noProof/>
        </w:rPr>
        <w:t>Tableau 2: Engagements pour les cas spéciaux</w:t>
      </w:r>
      <w:r>
        <w:tab/>
      </w:r>
      <w:r>
        <w:fldChar w:fldCharType="begin"/>
      </w:r>
      <w:r>
        <w:instrText xml:space="preserve"> PAGEREF _Toc256000205 \h </w:instrText>
      </w:r>
      <w:r>
        <w:fldChar w:fldCharType="separate"/>
      </w:r>
      <w:r>
        <w:t>40</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"_Toc256000206" </w:instrText>
      </w:r>
      <w:r>
        <w:fldChar w:fldCharType="separate"/>
      </w:r>
      <w:r w:rsidRPr="00C83557">
        <w:rPr>
          <w:rStyle w:val="Hyperlink"/>
          <w:rFonts w:eastAsia="Arial Unicode MS"/>
          <w:noProof/>
        </w:rPr>
        <w:t>Tableau 3: Engagements annuels totaux de l’UE (€)</w:t>
      </w:r>
      <w:r>
        <w:tab/>
      </w:r>
      <w:r>
        <w:fldChar w:fldCharType="begin"/>
      </w:r>
      <w:r>
        <w:instrText xml:space="preserve"> PAGEREF _Toc256000206 \h </w:instrText>
      </w:r>
      <w:r>
        <w:fldChar w:fldCharType="separate"/>
      </w:r>
      <w:r>
        <w:t>40</w:t>
      </w:r>
      <w:r>
        <w:fldChar w:fldCharType="end"/>
      </w:r>
      <w:r>
        <w:fldChar w:fldCharType="end"/>
      </w:r>
    </w:p>
    <w:p>
      <w:pPr>
        <w:pStyle w:val="TOC2"/>
        <w:tabs>
          <w:tab w:val="right" w:leader="dot" w:pos="10479"/>
        </w:tabs>
        <w:rPr>
          <w:rFonts w:ascii="Calibri" w:hAnsi="Calibri"/>
          <w:noProof/>
          <w:sz w:val="22"/>
        </w:rPr>
      </w:pPr>
      <w:r>
        <w:fldChar w:fldCharType="begin"/>
      </w:r>
      <w:r>
        <w:instrText xml:space="preserve"> HYPERLINK \l "_Toc256000207" </w:instrText>
      </w:r>
      <w:r>
        <w:fldChar w:fldCharType="separate"/>
      </w:r>
      <w:r>
        <w:rPr>
          <w:rStyle w:val="Hyperlink"/>
          <w:rFonts w:eastAsia="Arial Unicode MS"/>
          <w:noProof/>
        </w:rPr>
        <w:t>Justification de tout écart par rapport aux parts minimales fixées dans les règlements spécifiques</w:t>
      </w:r>
      <w:r>
        <w:tab/>
      </w:r>
      <w:r>
        <w:fldChar w:fldCharType="begin"/>
      </w:r>
      <w:r>
        <w:instrText xml:space="preserve"> PAGEREF _Toc256000207 \h </w:instrText>
      </w:r>
      <w:r>
        <w:fldChar w:fldCharType="separate"/>
      </w:r>
      <w:r>
        <w:t>40</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"_Toc256000208" </w:instrText>
      </w:r>
      <w:r>
        <w:fldChar w:fldCharType="separate"/>
      </w:r>
      <w:r>
        <w:rPr>
          <w:rStyle w:val="Hyperlink"/>
          <w:noProof/>
        </w:rPr>
        <w:t>Documents</w:t>
      </w:r>
      <w:r>
        <w:tab/>
      </w:r>
      <w:r>
        <w:fldChar w:fldCharType="begin"/>
      </w:r>
      <w:r>
        <w:instrText xml:space="preserve"> PAGEREF _Toc256000208 \h </w:instrText>
      </w:r>
      <w:r>
        <w:fldChar w:fldCharType="separate"/>
      </w:r>
      <w:r>
        <w:t>41</w:t>
      </w:r>
      <w:r>
        <w:fldChar w:fldCharType="end"/>
      </w:r>
      <w:r>
        <w:fldChar w:fldCharType="end"/>
      </w:r>
    </w:p>
    <w:p>
      <w:pPr>
        <w:pStyle w:val="TOC1"/>
        <w:tabs>
          <w:tab w:val="right" w:leader="dot" w:pos="10479"/>
        </w:tabs>
        <w:rPr>
          <w:rFonts w:ascii="Calibri" w:hAnsi="Calibri"/>
          <w:noProof/>
          <w:sz w:val="22"/>
        </w:rPr>
      </w:pPr>
      <w:r>
        <w:fldChar w:fldCharType="begin"/>
      </w:r>
      <w:r>
        <w:instrText xml:space="preserve"> HYPERLINK \l "_Toc256000209" </w:instrText>
      </w:r>
      <w:r>
        <w:fldChar w:fldCharType="separate"/>
      </w:r>
      <w:r w:rsidR="00F05543">
        <w:rPr>
          <w:rStyle w:val="Hyperlink"/>
          <w:noProof/>
        </w:rPr>
        <w:t>Résultats de la dernière validation</w:t>
      </w:r>
      <w:r>
        <w:tab/>
      </w:r>
      <w:r>
        <w:fldChar w:fldCharType="begin"/>
      </w:r>
      <w:r>
        <w:instrText xml:space="preserve"> PAGEREF _Toc256000209 \h </w:instrText>
      </w:r>
      <w:r>
        <w:fldChar w:fldCharType="separate"/>
      </w:r>
      <w:r>
        <w:t>42</w:t>
      </w:r>
      <w:r>
        <w:fldChar w:fldCharType="end"/>
      </w:r>
      <w:r>
        <w:fldChar w:fldCharType="end"/>
      </w:r>
    </w:p>
    <w:p w:rsidP="00C13D6C">
      <w:pPr>
        <w:spacing w:before="0" w:after="0"/>
      </w:pPr>
      <w:r>
        <w:fldChar w:fldCharType="end"/>
      </w:r>
    </w:p>
    <w:p w:rsidR="0084560F" w:rsidP="00C13D6C">
      <w:pPr>
        <w:pStyle w:val="Heading1"/>
        <w:numPr>
          <w:ilvl w:val="0"/>
          <w:numId w:val="0"/>
        </w:numPr>
        <w:spacing w:before="0" w:after="0"/>
      </w:pPr>
      <w:r>
        <w:br w:type="page"/>
      </w:r>
      <w:bookmarkStart w:id="8" w:name="_Toc256000002"/>
      <w:bookmarkStart w:id="9" w:name="_Toc256000036"/>
      <w:bookmarkStart w:id="10" w:name="_Toc256000094"/>
      <w:bookmarkStart w:id="11" w:name="_Toc256000152"/>
      <w:r w:rsidRPr="00EA12D4">
        <w:rPr>
          <w:noProof/>
        </w:rPr>
        <w:t>1. RÉSUMÉ</w:t>
      </w:r>
      <w:bookmarkEnd w:id="11"/>
      <w:bookmarkEnd w:id="10"/>
      <w:bookmarkEnd w:id="9"/>
      <w:bookmarkEnd w:id="8"/>
    </w:p>
    <w:p w:rsidR="000315F4" w:rsidRPr="000315F4" w:rsidP="00C13D6C">
      <w:pPr>
        <w:spacing w:before="0" w:after="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Under the AMIF, Belgium (BE) intends to continue and, where possible, enhance actions developed under the preceding funding programmes, as well as to lead and participate in several specific actions (SA) in cooperation with other European Union (EU) Member States (MS) and the European Asylum Support Office (EASO).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 the field of </w:t>
      </w:r>
      <w:r>
        <w:rPr>
          <w:rFonts w:ascii="Times New Roman" w:eastAsia="Times New Roman" w:hAnsi="Times New Roman" w:cs="Times New Roman"/>
          <w:b/>
          <w:bCs/>
        </w:rPr>
        <w:t>Asylum</w:t>
      </w:r>
      <w:r>
        <w:rPr>
          <w:rFonts w:ascii="Times New Roman" w:eastAsia="Times New Roman" w:hAnsi="Times New Roman" w:cs="Times New Roman"/>
        </w:rPr>
        <w:t xml:space="preserve"> the main focus will be on further strengthening the Common European Asylum System (CEAS), with special attention to the situation of  vulnerable persons.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Development of a qualitative, flexible and easily adaptable </w:t>
      </w:r>
      <w:r>
        <w:rPr>
          <w:rFonts w:ascii="Times New Roman" w:eastAsia="Times New Roman" w:hAnsi="Times New Roman" w:cs="Times New Roman"/>
          <w:b/>
          <w:bCs/>
        </w:rPr>
        <w:t>reception</w:t>
      </w:r>
      <w:r>
        <w:rPr>
          <w:rFonts w:ascii="Times New Roman" w:eastAsia="Times New Roman" w:hAnsi="Times New Roman" w:cs="Times New Roman"/>
        </w:rPr>
        <w:t xml:space="preserve"> system will be a main goal for BE. Increased attention will therefore be given to optimizing reception capacities and being able to adapt to situations of increase of arrivals, to enhancing reception quality with special emphasis on vulnerable persons and psychological and legal assistance, to ensuring a smooth transition of recognized refugees from the reception network to adequate and stable housing as well as to enhance exchange of information and best practices at EU level. BE will also continue supporting further harmonisation of the CEAS by increased use of EASO developed tools and practical cooperation. Further developing a solid, flexible, efficient and qualitative </w:t>
      </w:r>
      <w:r>
        <w:rPr>
          <w:rFonts w:ascii="Times New Roman" w:eastAsia="Times New Roman" w:hAnsi="Times New Roman" w:cs="Times New Roman"/>
          <w:b/>
          <w:bCs/>
        </w:rPr>
        <w:t xml:space="preserve">asylum process </w:t>
      </w:r>
      <w:r>
        <w:rPr>
          <w:rFonts w:ascii="Times New Roman" w:eastAsia="Times New Roman" w:hAnsi="Times New Roman" w:cs="Times New Roman"/>
        </w:rPr>
        <w:t xml:space="preserve">remains a priority. BE aims at continuous evaluation of the asylum system and improvement of quality and speed of the procedure, maintaining a consistent level of legal aid and access to information for asylum seekers, strengthening the identification of and guarantees for vulnerable applicants, including unaccompanied minors. Finally BE intends to maintain and gradually increase its commitment to participate in </w:t>
      </w:r>
      <w:r>
        <w:rPr>
          <w:rFonts w:ascii="Times New Roman" w:eastAsia="Times New Roman" w:hAnsi="Times New Roman" w:cs="Times New Roman"/>
          <w:b/>
          <w:bCs/>
        </w:rPr>
        <w:t>resettlement</w:t>
      </w:r>
      <w:r>
        <w:rPr>
          <w:rFonts w:ascii="Times New Roman" w:eastAsia="Times New Roman" w:hAnsi="Times New Roman" w:cs="Times New Roman"/>
        </w:rPr>
        <w:t xml:space="preserve"> schemes with the creation of sustainable resettlement conditions on an annual basis. During 2014-2020 an estimated 1450 persons will be resettled on the basis of EU priorities, with increased attention to vulnerable persons, starting with 100 persons in 2014 and gradually rising. Increasing participation on issues of external dimension through e.g. capacity building in the regions of origin (included in the regional protection programmes) is also a priority.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For third-country nationals (TCN) who are residing legally in BE or who are in the process of acquiring legal residence , there is a need for basic </w:t>
      </w:r>
      <w:r>
        <w:rPr>
          <w:rFonts w:ascii="Times New Roman" w:eastAsia="Times New Roman" w:hAnsi="Times New Roman" w:cs="Times New Roman"/>
          <w:b/>
          <w:bCs/>
        </w:rPr>
        <w:t>integration</w:t>
      </w:r>
      <w:r>
        <w:rPr>
          <w:rFonts w:ascii="Times New Roman" w:eastAsia="Times New Roman" w:hAnsi="Times New Roman" w:cs="Times New Roman"/>
        </w:rPr>
        <w:t xml:space="preserve"> so that the individual can feel a part of the society and vice versa. BE wishes to increase integration of TCNs, with special attention to unaccompanied minors and other vulnerable groups.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Actions as language training, initiation courses to citizenship, preparatory courses for the labour market and integration trajectories, when appropriate in coherence with the European Social Fund (ESF), will be funded under the AMIF. These actions will offer those individuals, especially certain target groups such as vulnerable groups, the possibility to integrate in 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BE also wants to continue efforts to increase the efficiency of its </w:t>
      </w:r>
      <w:r>
        <w:rPr>
          <w:rFonts w:ascii="Times New Roman" w:eastAsia="Times New Roman" w:hAnsi="Times New Roman" w:cs="Times New Roman"/>
          <w:b/>
          <w:bCs/>
        </w:rPr>
        <w:t>legal migration</w:t>
      </w:r>
      <w:r>
        <w:rPr>
          <w:rFonts w:ascii="Times New Roman" w:eastAsia="Times New Roman" w:hAnsi="Times New Roman" w:cs="Times New Roman"/>
        </w:rPr>
        <w:t xml:space="preserve"> procedures and in particular to speed up issuing of legal migration channels for bona fide applicants through i.a. updating IT tools to improve efficiency of procedures and better detect abuses; increasing cooperation in countries of origin and in EU MS (e.g. information campaigns).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 its </w:t>
      </w:r>
      <w:r>
        <w:rPr>
          <w:rFonts w:ascii="Times New Roman" w:eastAsia="Times New Roman" w:hAnsi="Times New Roman" w:cs="Times New Roman"/>
          <w:b/>
          <w:bCs/>
        </w:rPr>
        <w:t>return</w:t>
      </w:r>
      <w:r>
        <w:rPr>
          <w:rFonts w:ascii="Times New Roman" w:eastAsia="Times New Roman" w:hAnsi="Times New Roman" w:cs="Times New Roman"/>
        </w:rPr>
        <w:t xml:space="preserve"> policy, BE applies a progressive approach: individuals who can no longer stay are first encouraged to return on a voluntary basis  before gradually resorting to forced return.  For both voluntary and forced return, the focus will be on strengthening the cooperation with countries of origin, improvement of the efficiency and speed of procedures (including through IT tools) with special attention to vulnerable groups.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The objective of the </w:t>
      </w:r>
      <w:r>
        <w:rPr>
          <w:rFonts w:ascii="Times New Roman" w:eastAsia="Times New Roman" w:hAnsi="Times New Roman" w:cs="Times New Roman"/>
          <w:b/>
          <w:bCs/>
        </w:rPr>
        <w:t>voluntary return</w:t>
      </w:r>
      <w:r>
        <w:rPr>
          <w:rFonts w:ascii="Times New Roman" w:eastAsia="Times New Roman" w:hAnsi="Times New Roman" w:cs="Times New Roman"/>
        </w:rPr>
        <w:t xml:space="preserve"> programme is to invest in making a voluntary return as feasible and as accessible as possible. In order to achieve that, the programme must provide a continued effort in making qualitative information on return readily available (both towards the potential returnees and to the persons working in the field), in removing barriers that prevent return and in providing tailor-made reintegration assistance during the whole return trajectory. Simultaneously a humane and effective approach to </w:t>
      </w:r>
      <w:r>
        <w:rPr>
          <w:rFonts w:ascii="Times New Roman" w:eastAsia="Times New Roman" w:hAnsi="Times New Roman" w:cs="Times New Roman"/>
          <w:b/>
          <w:bCs/>
        </w:rPr>
        <w:t>integrated and  forced return</w:t>
      </w:r>
      <w:r>
        <w:rPr>
          <w:rFonts w:ascii="Times New Roman" w:eastAsia="Times New Roman" w:hAnsi="Times New Roman" w:cs="Times New Roman"/>
        </w:rPr>
        <w:t xml:space="preserve"> will also be further developed in order to limit the use of detention, develop alternatives to detention and, where detention is still needed, shorten detention times and improve living conditions in detention centres. To attain this goal the follow up of return decision must be enhanced, the return and readmission procedures should be further streamlined, the return coaching should be improved as well as the conditions and effectiveness of return operations. Return operations will be monitored.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also leads the SA EU Return Liaison Officers (EUR-LO).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financing plan of the programme foresees allocating approximately 32% to asylum, 29,5% to legal migration/integration,32,5% to return measures and 6% 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4560F" w:rsidRPr="00EA12D4" w:rsidP="00C13D6C">
      <w:pPr>
        <w:spacing w:before="0" w:after="0"/>
        <w:jc w:val="left"/>
      </w:pPr>
    </w:p>
    <w:p w:rsidR="0084560F" w:rsidP="00C13D6C">
      <w:pPr>
        <w:pStyle w:val="Heading1"/>
        <w:numPr>
          <w:ilvl w:val="0"/>
          <w:numId w:val="0"/>
        </w:numPr>
        <w:spacing w:before="0" w:after="0"/>
        <w:ind w:left="850" w:hanging="850"/>
        <w:jc w:val="left"/>
      </w:pPr>
      <w:r w:rsidR="000315F4">
        <w:br w:type="page"/>
      </w:r>
      <w:bookmarkStart w:id="12" w:name="_Toc256000003"/>
      <w:bookmarkStart w:id="13" w:name="_Toc256000037"/>
      <w:bookmarkStart w:id="14" w:name="_Toc256000095"/>
      <w:bookmarkStart w:id="15" w:name="_Toc256000153"/>
      <w:r w:rsidRPr="00EA12D4">
        <w:rPr>
          <w:noProof/>
        </w:rPr>
        <w:t>2. SITUATION DE DÉPART DANS L'ÉTAT MEMBRE</w:t>
      </w:r>
      <w:bookmarkEnd w:id="15"/>
      <w:bookmarkEnd w:id="14"/>
      <w:bookmarkEnd w:id="13"/>
      <w:bookmarkEnd w:id="12"/>
    </w:p>
    <w:p w:rsidR="000315F4" w:rsidRPr="000315F4" w:rsidP="00C13D6C">
      <w:pPr>
        <w:spacing w:before="0" w:after="0"/>
      </w:pPr>
    </w:p>
    <w:p w:rsidR="0084560F" w:rsidP="00C13D6C">
      <w:pPr>
        <w:pStyle w:val="Heading2"/>
        <w:numPr>
          <w:ilvl w:val="0"/>
          <w:numId w:val="0"/>
        </w:numPr>
        <w:spacing w:before="0" w:after="0"/>
      </w:pPr>
      <w:bookmarkStart w:id="16" w:name="_Toc256000004"/>
      <w:bookmarkStart w:id="17" w:name="_Toc256000038"/>
      <w:bookmarkStart w:id="18" w:name="_Toc256000096"/>
      <w:bookmarkStart w:id="19" w:name="_Toc256000154"/>
      <w:r>
        <w:rPr>
          <w:noProof/>
        </w:rPr>
        <w:t>Résumé de l’état actuel depuis décembre 2013 dans l’État membre pour les domaines relevant du Fonds</w:t>
      </w:r>
      <w:bookmarkEnd w:id="19"/>
      <w:bookmarkEnd w:id="18"/>
      <w:bookmarkEnd w:id="17"/>
      <w:bookmarkEnd w:id="16"/>
    </w:p>
    <w:p w:rsidR="000315F4" w:rsidRPr="000315F4" w:rsidP="00C13D6C">
      <w:pPr>
        <w:spacing w:before="0" w:after="0"/>
      </w:pP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RECEPTION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national situation (NS)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Federal Agency for reception of asylum seekers (Fedasil) coordinates and finances the reception network. This network totalizes (01.01.2014) 20.854 places managed by several operators: Fedasil centers (4.927), Red Cross (5.609), local reception initiatives (7.934) and others partners.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After a long period of saturation of this network (2009 to early 2012) the occupancy rate has decreased significantly from 23.411 in February 2012 to 14.718 residents beginning of 2014. This evolution is linked to structural measures aiming at lowering the number of asylum applications and to an increase in persons leaving the network.</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Needs assessment (ass.)/ analysis of requirements (req.)</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main points that need attention are the quality and flexibility of the reception system and the smooth transition towards an integration path for asylum applicants obtaining a permit to stay and a ‘return trajectory’ for those who have received a negative decision.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terms of quality, the main points of attention for the future are the adoption of implementation instruments of the law, employment of asylum applicants, access to information and legal aid, persons suffering from pathological disorders, qualitative training for all asylum applications, policy towards vulnerable persons and in particular those asylum seekers who are Unaccompanied Minors (UAM.)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total budget of Fedasil was in 2013, € 387.736.961. From this € 379.435.171 is used for reception from which € 261.288.000 as funding for the reception outside Fedasil and € 117.147.000 for reception facilities managed directly by Fedasil.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remaining budget is used for Voluntary Return (VR) activities (€ 7.101.790) and the resettlement programme (€ 1.536.833).</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ASYLUM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The NS and measures undertaken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High numbers of asylum applications (2011: 31.915 and 2012: 28.105) have put the asylum system under severe pressure. After the implementation of a whole range of measures both on the legislative and operational side the numbers decreased (2013: 21.030). At the same time the average protection rate increased, the average period for decision making shortened and the backlog decreased. The SOLID Funds allowed BE to increase the quality standards, enhance standards for vulnerable groups and to react to emergency situations.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Average (Avg.) duration of (new) asylum procedure (excluding Dublin):</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2012: 219 days (d)</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2013: 140 d</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2014 (until 31 Oct) : 70 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Including the old (backlog) procedure:</w:t>
      </w:r>
    </w:p>
    <w:p>
      <w:pPr>
        <w:numPr>
          <w:ilvl w:val="0"/>
          <w:numId w:val="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2012: 317 d</w:t>
      </w:r>
    </w:p>
    <w:p>
      <w:pPr>
        <w:numPr>
          <w:ilvl w:val="0"/>
          <w:numId w:val="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2013: 406 d</w:t>
      </w:r>
    </w:p>
    <w:p>
      <w:pPr>
        <w:numPr>
          <w:ilvl w:val="0"/>
          <w:numId w:val="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2014 (until 31 Oct) : 279 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Appeal for the new applications:</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2014 (until 31 Oct) : 172 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Appeal including the old applications:</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2014 (until 31 Oct) : 518 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2014, 690 asylum applications where submitted from persons held in detention.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continuously invests in a solid, efficient and qualitative system on all levels (training, Country of origin information, organisational) and will continue to do so in the future. Through the implementation of the legislative instruments, and the participation in (EASO) practical cooperation initiatives and tools, BE will remain a reliable partner and will work towards a common approach in the context of the CEAS.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Needs ass./ analysis of req.</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Certain aspects need further development: identification of vulnerable persons, alternatives to detention, a best interest of the child determination procedure, legal aid and access to information for applications. Where possible, BE will rely on the expertise of UNHCR, civil society organisations and other external experts.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is ready to further develop the external dimension of asylum (relating to resettlement), preferably in cooperation with EASO.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3 authorities involved in the asylum proc. work with around 860 employees and have an annual budget of around € 50 m, which consists mainly of salary costs.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RESETTLEMENT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After several ad hoc resettlement operations (ex-Iraq, ex-Libya), 2013 marked the first year of the BE structural resettlement programme. BE pledges to further develop its programme by increasing its quota (250 in 2020) and reinforce sensitisation among potential partners. The SOLID funds allowed BE to set up pilot projects, gain expertise and set up a resettlement structure.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LEGAL MIGRATION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is confronted to various forms of pseudo-legal migration like abuse of family-reunification.  In 2013 for example, 12.996 applications were submitted for a regularisation procedure, supposed to be an exception procedure.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undertook in recent years different measures to decrease abuse. The rules on family reunification  were reformed in 2006 (transposition of directive 2003/86) and 2011. In 2006 marriages of convenience, and in 2007 forced marriages were made punishable. As this resulted in a shift towards abuses of cohabitation, BE reformed its legislation in that matter.  A better follow-up on decisions was put into place, also while transposing the Return Directive, leading towards an increase in voluntary departures.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Needs ass. / analysis of req.</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database needs to be further developed to ameliorate the picture of migration and to increase further the follow-up on decisions.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2013, approx. 3,4 m € was reserved for improvement of these ICT tools.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INTEGRATION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BE integration of Third Country Nationals (TCN) is mostly ‘federalised’ matter and hence largely a competence of the communities. Effective integration of citizens of TCs is a particular challenge. For this, capacity building of competent authorities and mutual coordination of authorities involved is an important factor.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employment rate of TCNs is lower than the European average and the rate for Belgians. The employment rate of TCN women is particularly low, although it is on the rise, breaking the trend witnessed elsewhere in the EU. Society and its structures don’t know always how to deal with migrants and the consequences of migration. Decreasing the gap towards the labour market is therefore a priority. The BE programme will try to be as complementary as possible to the partnership agreement of the ESF. The development of linguistic skills is an important aspect as well as the integration on several levels.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For Flanders (FL), the data shows that in 2013 the employment rate of non-EU citizens was 26 percentage points (%ps) lower than Belgians and 23 %ps lower than EU citizens.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For the French speaking community (FSC), the data shows that the employment rate of non-EU citizens was 29,6 (Wall.) and 23.8 (BXL) %ps lower than Belgians and respectively 11.3 and 4.4 %ps lower than EU citizens in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For the German-speaking community (GSC), 2.4 % of the population are people with a non EU nationality. However, 20 % of the  people registered at the regional employment office are non-EU citizen (10 %) or have an immigration background (10 %).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Concrete statistical data on unqualified outflow is not available, but surveys show that the socio-economic background of students has an impact on school performance, and by consequence also on grade repetition. Especially the presence or absence of a language deficiency influences one's chances of success in education.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Since 1998 FL has developed a legal base for a horizontal and inclusive integration policy in order to focus on facilitating TCNs access to the labour market, addressing and insuring the right reference flow and the prevention of unqualified outflow in education and segregation in certain cities. The federal level is responsible for the integration of persons who are too far removed from the ‘activation’ services offered by the Communities: focus is on vulnerable individuals through intensive social assistance offered by the Public Social Welfare Centres (OCMW/CPAS) that was provided in the SOLID funds.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National needs ass./analysis of req.</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FL will work on training in order to increase employment, such as integration courses and language tuition, as well as on support to stimulate the access to public Services. The Flemish integration policy is inclusive: it is essential that the policy domains involved make the necessary efforts to promote the integration of TCNs. To decrease the employment gap between non-EU newcomers and EU-citizens/Belgians, attention will be paid to complementarity of available resources with ESF.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FSC will focus on the ‘parcours d’integration’ for non-EU newcomers including civic orientation courses and French as foreign language classes. Attention will be paid to ensuring synergies with the ESF in particular in relation to facilitating access to the labour market. The ‘parcours d’integration’ will be taken care of by the welcome offices in Brussels and in the regional centres of integration in Wallonia, in two-ways structured: diagnostic and formation. The number of persons involved by the  parcours is estimated on 15.000 each year.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GSC will focus on improving cooperation between services and supporting cultural and anti-discrimination activities as well as civic orientation and language classes. These activities would be open to asylum seekers and the intention is to cooperate with Germany where possible.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Federal Level: The need for the existing integration programmes and guidance remains while there is still a group vulnerable TCNs not ready for the existing offer of programmes in order to meet their specific needs and to tap their strengths and skills.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same agencies are responsible for the ESF and Integration part of AMIF which has the advantage to avoid double support. The currently scattered integration structures will be improved and optimized by increasing the collaboration between actors and by emphasizing the results to the end user. As an indication for the available budget which is hard to measure, there was for 2013 in FL an available budget for Integration and Civic Integration policy of € 55 mil, the GSC has a dedicated budget for approx. €300.000, the FSC € 25 mil and the federal level approx. € 390 mil.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RETURN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its return policy, BE applies a progressive approach: BE encourages persons who are no longer permitted to stay in BE first to return on a voluntary basis, with or without assistance, before gradually resorting to forced return.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Starting from 2009 there is a constant increase in the total number of return from BE (from 7.842 returns in 2009 to 10.104 in 2013 (4.433 the first half of 2014), including inadmissible persons). This increase is more significant in the field of VR ( from 2.668 to 4.585 (1.803 in the first half of 2014). The main catalysts for this continuous increase are the efforts made in the field of follow-up of and increased efficiency of the return processes.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Great effort has been done on making information on return readily available to a broad group of persons and these efforts need to be continued under the AMIF.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main obstacles remain the difficult relationship with certain countries of origin (mostly on identifying their nationals), the problems with returning persons with special needs  and the capacity of the Federal Police to organize escorts within short deadlines.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Under the SOLID-funds several actions are implemented contributing to the current baseline situation.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the field of VR an improved reintegration programme is complemented by  information activities, training sessions, etc.  Since 2012 a return trajectory is implemented for all asylum seekers. For every asylum seeker in every reception center, information and guidance is given about VR during the asylum procedure. Rejected asylum applications are allocated to ‘open return places’ with the necessary support. After a 30-day period the Immigration Office is entitled to proceed to a forced return (FR).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Furthermore since 2011 the project SEFOR (sensitization, follow-up and return) is created. Every person that receives an order to leave the country is given information about VR, the risks of illegal stay, their rights and duties.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the field of FR the main focus  is on the needs of vulnerable persons, reflected in projects such as ‘families' and 'special needs’. Additionally several actions are implemented based on the Return Directive, such as monitoring of forced return, humanization of closed centers, upgrade of equipment,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Significant efforts are also made in developing lasting relationships with key Countries of origin such as Morocco and DR Congo in order to facilitate return as well as developing capacity building activities e.g. in support of Mobility Partnerships.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regularly carries out information campaigns in third countries aimed at preventing illegal migration and promoting legal migration channels.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On a national level, a</w:t>
      </w:r>
      <w:r>
        <w:rPr>
          <w:rFonts w:ascii="Times New Roman" w:eastAsia="Times New Roman" w:hAnsi="Times New Roman" w:cs="Times New Roman"/>
          <w:b/>
          <w:bCs/>
        </w:rPr>
        <w:t xml:space="preserve"> coordination mechanism </w:t>
      </w:r>
      <w:r>
        <w:rPr>
          <w:rFonts w:ascii="Times New Roman" w:eastAsia="Times New Roman" w:hAnsi="Times New Roman" w:cs="Times New Roman"/>
        </w:rPr>
        <w:t>was set up to coordinate the activities in the area of integrated and forced return and ensure coherence with related actions supported by AMIF and ISF.</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National needs ass./analysis of req.</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following general needs can be identified:</w:t>
      </w:r>
    </w:p>
    <w:p>
      <w:pPr>
        <w:numPr>
          <w:ilvl w:val="0"/>
          <w:numId w:val="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improvement of the return processes by enhancing cooperation with other authorities and by further developing and updating ICT tools.</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humanisation of closed centers and return procedures by investigating alternatives for detention of vulnerable persons, tailor-made support and assistance and further training of the staff.</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Continuous follow-up of persons with a return decision by information campaigns, promotion of VR and further development of the open return center/places.</w:t>
      </w:r>
    </w:p>
    <w:p>
      <w:pPr>
        <w:numPr>
          <w:ilvl w:val="0"/>
          <w:numId w:val="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 the field of VR, investments in increased reintegration assistance will remain a priority. Next to that, there should be more cooperation with other MS to exchange best and common practices and to organise, monitor and evaluate the reintegration in the same way.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Yearly approx. 92m € are dedicated to return actions by the immigration office, Fedasil and the monitoring of forced return.</w:t>
      </w:r>
    </w:p>
    <w:p w:rsidR="0084560F" w:rsidP="00C13D6C">
      <w:pPr>
        <w:spacing w:before="0" w:after="0"/>
        <w:jc w:val="left"/>
      </w:pPr>
    </w:p>
    <w:p w:rsidR="0084560F" w:rsidP="00C13D6C">
      <w:pPr>
        <w:pStyle w:val="Heading1"/>
        <w:numPr>
          <w:ilvl w:val="0"/>
          <w:numId w:val="0"/>
        </w:numPr>
        <w:spacing w:before="0" w:after="0"/>
        <w:ind w:left="851" w:hanging="851"/>
        <w:jc w:val="left"/>
        <w:sectPr w:rsidSect="00385122">
          <w:headerReference w:type="default" r:id="rId5"/>
          <w:footerReference w:type="default" r:id="rId6"/>
          <w:pgSz w:w="11906" w:h="16838"/>
          <w:pgMar w:top="284" w:right="1133" w:bottom="284" w:left="284" w:header="567" w:footer="0" w:gutter="0"/>
          <w:cols w:space="708"/>
          <w:docGrid w:linePitch="360"/>
        </w:sectPr>
      </w:pPr>
    </w:p>
    <w:p w:rsidR="002270DD" w:rsidP="002270DD">
      <w:pPr>
        <w:pStyle w:val="Heading1"/>
        <w:numPr>
          <w:ilvl w:val="0"/>
          <w:numId w:val="0"/>
        </w:numPr>
        <w:spacing w:before="0" w:after="0"/>
        <w:jc w:val="left"/>
      </w:pPr>
      <w:bookmarkStart w:id="21" w:name="_Toc256000005"/>
      <w:bookmarkStart w:id="22" w:name="_Toc256000039"/>
      <w:bookmarkStart w:id="23" w:name="_Toc256000097"/>
      <w:bookmarkStart w:id="24" w:name="_Toc256000155"/>
      <w:r>
        <w:rPr>
          <w:noProof/>
        </w:rPr>
        <w:t>3. OBJECTIFS DU PROGRAMME</w:t>
      </w:r>
      <w:bookmarkEnd w:id="24"/>
      <w:bookmarkEnd w:id="23"/>
      <w:bookmarkEnd w:id="22"/>
      <w:bookmarkEnd w:id="21"/>
    </w:p>
    <w:p w:rsidR="00BE65DB" w:rsidP="00C13D6C">
      <w:pPr>
        <w:spacing w:before="0" w:after="0"/>
        <w:jc w:val="left"/>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6"/>
        <w:gridCol w:w="2946"/>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E76F3F" w:rsidP="00C13D6C">
            <w:pPr>
              <w:spacing w:before="0" w:after="0"/>
              <w:jc w:val="left"/>
              <w:rPr>
                <w:b/>
              </w:rPr>
            </w:pPr>
            <w:r>
              <w:rPr>
                <w:b/>
                <w:noProof/>
              </w:rPr>
              <w:t>Objectif spécifique</w:t>
            </w:r>
          </w:p>
        </w:tc>
        <w:tc>
          <w:tcPr>
            <w:shd w:val="clear" w:color="auto" w:fill="auto"/>
          </w:tcPr>
          <w:p w:rsidR="0084560F" w:rsidRPr="005D60C3" w:rsidP="00C13D6C">
            <w:pPr>
              <w:pStyle w:val="Heading2"/>
              <w:numPr>
                <w:ilvl w:val="0"/>
                <w:numId w:val="0"/>
              </w:numPr>
              <w:spacing w:before="0" w:after="0"/>
              <w:jc w:val="left"/>
            </w:pPr>
            <w:bookmarkStart w:id="25" w:name="_Toc256000040"/>
            <w:bookmarkStart w:id="26" w:name="_Toc256000098"/>
            <w:bookmarkStart w:id="27" w:name="_Toc256000156"/>
            <w:r w:rsidRPr="0083666D">
              <w:rPr>
                <w:rStyle w:val="Heading2Char"/>
                <w:noProof/>
              </w:rPr>
              <w:t>1</w:t>
            </w:r>
            <w:bookmarkStart w:id="28" w:name="_Toc521575219"/>
            <w:bookmarkStart w:id="29" w:name="_Toc256000006"/>
            <w:r>
              <w:t xml:space="preserve"> - </w:t>
            </w:r>
            <w:r w:rsidRPr="00CE4D5C">
              <w:rPr>
                <w:b w:val="0"/>
                <w:noProof/>
              </w:rPr>
              <w:t>Asile</w:t>
            </w:r>
            <w:bookmarkEnd w:id="27"/>
            <w:bookmarkEnd w:id="26"/>
            <w:bookmarkEnd w:id="25"/>
            <w:bookmarkEnd w:id="29"/>
            <w:bookmarkEnd w:id="28"/>
          </w:p>
        </w:tc>
      </w:tr>
    </w:tbl>
    <w:p w:rsidR="00DE3223" w:rsidP="00C13D6C">
      <w:pPr>
        <w:spacing w:before="0" w:after="0"/>
        <w:jc w:val="left"/>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Reception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aims at maintaining a flexible but qualitative reception capacity to be able to face sudden changes in the number of asylum applicants, especially by keeping a buffer capacity which is high enough. Next to that Belgium aims at ensuring a smooth transition towards an integration path for asylum applicants obtaining a permit to stay and offering a ‘return trajectory’ for those who have received a negative decision.  To achieve this last objective attention will be given to, amongst others, employment of asylum applicants, increased access to information and legal aid, qualitative training possibilities for asylum applicants and a specific approach towards vulnerable persons (in particular unaccompanied minors).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Asylum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has taken its responsibility in developing a solid, flexible, efficient and qualitative asylum process and evaluates that system continuously, and in contributing to the development of a truly Common European Asylum System.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will continue to invest on all levels and consolidate the asylum system in all its aspects (including application of the Dublin regulation), adhering to the principle of frontloading (last in first out) and close monitoring, including through IT tools and external consultancy.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further harmonization on EU level requires the transposition and implementation of the legislative instruments, the further development of practical cooperation initiatives and tools (i.a. the  exchange of good practices, (IT) investments,  e.g. to ensure a qualitative Belgian participation in the EU initiatives such as the Common COI portal, Early Warning &amp; Preparedness system,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Resettlement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is also ready to share its expertise and support the external dimension. Belgium will maintain and expand its commitment to participate in resettlement schemes with the creation of sustainable resettlement conditions on an annual basis by consolidating the existing programme and maintaining the existing network of stakeholders.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Update due to regulation (2018/2000)</w:t>
            </w:r>
            <w:r>
              <w:rPr>
                <w:rFonts w:ascii="Times New Roman" w:eastAsia="Times New Roman" w:hAnsi="Times New Roman" w:cs="Times New Roman"/>
              </w:rPr>
              <w:t>: 4.9 million Euro is added to this Specific Objective and will be used to strengthen the ongoing actions.</w:t>
            </w:r>
          </w:p>
          <w:p w:rsidR="00C13D6C" w:rsidP="00CF34E2">
            <w:pPr>
              <w:spacing w:before="0" w:after="0"/>
            </w:pPr>
          </w:p>
        </w:tc>
      </w:tr>
    </w:tbl>
    <w:p w:rsidR="00A93145" w:rsidRPr="00A93145" w:rsidP="00A93145">
      <w:pPr>
        <w:spacing w:before="0" w:after="0"/>
        <w:rPr>
          <w:vanish/>
        </w:rPr>
      </w:pPr>
    </w:p>
    <w:tbl>
      <w:tblPr>
        <w:tblStyle w:val="TableNormal"/>
        <w:tblW w:w="5000" w:type="pct"/>
        <w:tblInd w:w="108" w:type="dxa"/>
        <w:tblLook w:val="04A0"/>
      </w:tblPr>
      <w:tblGrid>
        <w:gridCol w:w="8962"/>
      </w:tblGrid>
      <w:tr w:rsidTr="00A93145">
        <w:tblPrEx>
          <w:tblW w:w="5000" w:type="pct"/>
          <w:tblInd w:w="108" w:type="dxa"/>
          <w:tblLook w:val="04A0"/>
        </w:tblPrEx>
        <w:trPr>
          <w:trHeight w:val="170"/>
        </w:trPr>
        <w:tc>
          <w:tcPr>
            <w:shd w:val="clear" w:color="auto" w:fill="auto"/>
          </w:tcPr>
          <w:p w:rsidR="004D189D" w:rsidRPr="00A93145" w:rsidP="00175974">
            <w:pPr>
              <w:pStyle w:val="Heading4"/>
              <w:numPr>
                <w:ilvl w:val="0"/>
                <w:numId w:val="0"/>
              </w:numPr>
              <w:spacing w:before="0" w:after="0"/>
              <w:rPr>
                <w:b/>
                <w:color w:val="FFFFFF"/>
              </w:rPr>
            </w:pPr>
            <w:bookmarkStart w:id="30" w:name="_Toc256000041"/>
            <w:bookmarkStart w:id="31" w:name="_Toc256000099"/>
            <w:bookmarkStart w:id="32" w:name="_Toc256000157"/>
            <w:r w:rsidRPr="00A93145">
              <w:rPr>
                <w:b/>
                <w:noProof/>
                <w:color w:val="FFFFFF"/>
              </w:rPr>
              <w:t>Objectifs nationaux</w:t>
            </w:r>
            <w:bookmarkEnd w:id="32"/>
            <w:bookmarkEnd w:id="31"/>
            <w:bookmarkEnd w:id="30"/>
          </w:p>
        </w:tc>
      </w:tr>
    </w:tbl>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368"/>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33" w:name="_Toc256000042"/>
            <w:bookmarkStart w:id="34" w:name="_Toc256000100"/>
            <w:bookmarkStart w:id="35" w:name="_Toc256000158"/>
            <w:r w:rsidRPr="00CE4D5C">
              <w:rPr>
                <w:noProof/>
              </w:rPr>
              <w:t>1</w:t>
            </w:r>
            <w:bookmarkStart w:id="36" w:name="_Toc521575221"/>
            <w:bookmarkStart w:id="37" w:name="_Toc256000008"/>
            <w:r w:rsidRPr="00CE4D5C">
              <w:t xml:space="preserve"> - </w:t>
            </w:r>
            <w:r w:rsidRPr="00CE4D5C">
              <w:rPr>
                <w:noProof/>
              </w:rPr>
              <w:t>Accueil/Asile</w:t>
            </w:r>
            <w:bookmarkEnd w:id="35"/>
            <w:bookmarkEnd w:id="34"/>
            <w:bookmarkEnd w:id="33"/>
            <w:bookmarkEnd w:id="37"/>
            <w:bookmarkEnd w:id="36"/>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to be funded through AMIF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 Further develop an IT system (ERF 11-7) to optimize the reception capacity and make it able to adapt to possible influx.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Desired outcome/result (D O/R):</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A flexible and proactive reception system able to: </w:t>
            </w:r>
          </w:p>
          <w:p>
            <w:pPr>
              <w:numPr>
                <w:ilvl w:val="1"/>
                <w:numId w:val="4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monitor permanently the reception network</w:t>
            </w:r>
          </w:p>
          <w:p>
            <w:pPr>
              <w:numPr>
                <w:ilvl w:val="1"/>
                <w:numId w:val="4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facilitate a proactive management of the asylum flow</w:t>
            </w:r>
          </w:p>
          <w:p>
            <w:pPr>
              <w:numPr>
                <w:ilvl w:val="1"/>
                <w:numId w:val="46"/>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maintain a buffer reception capacity</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2: Enhance the reception quality.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 actions:</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Controls of the quality of reception structures; assistance of vulnerable persons (who are asylum seekers).</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Provide specific assistance for vulnerable persons (e.g. UAM, victims of sexual mutilation).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Provide psychological and legal assistance (e.g. regarding the asylum procedure).</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Train reception staff to provide quality assistance.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Increased reception quality, focused on the target groups, by better trained staff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3: Support recognized refugees during the transition out of the reception network to obtain adequate and stable accommodation.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Recognized refugees are helped in their search to obtain stable accommodation.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4: Exchange of information and best practices with other European national agencies (via European Platform of Reception Agencies (EPRA) developed under ERF 13; this platform will be maintained and expanded).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More coherent procedures with increased quality between the agencies by expanding the action radius, developing information material, websites and increasing the number of participating MS.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5: Development of identification mechanisms and support tools regarding asylum applicants part of vulnerable groups so as to better address those groups, in particular guaranteeing the best interest of minors.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 action:</w:t>
            </w:r>
          </w:p>
          <w:p>
            <w:pPr>
              <w:numPr>
                <w:ilvl w:val="0"/>
                <w:numId w:val="5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Support for the organisation of the guardians, including training.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Vulnerable applicants are approached with strengthened identification mechanisms and guarantees, in particular at the border.</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Children at risk are assisted according to the developed procedure and the improved guardianship system.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6</w:t>
            </w:r>
            <w:r>
              <w:rPr>
                <w:rFonts w:ascii="Times New Roman" w:eastAsia="Times New Roman" w:hAnsi="Times New Roman" w:cs="Times New Roman"/>
              </w:rPr>
              <w:t xml:space="preserve">: </w:t>
            </w:r>
            <w:r>
              <w:rPr>
                <w:rFonts w:ascii="Times New Roman" w:eastAsia="Times New Roman" w:hAnsi="Times New Roman" w:cs="Times New Roman"/>
                <w:u w:val="single"/>
              </w:rPr>
              <w:t>Work towards more harmonisation and realisation of CEAS by increased use of EASO developed tools in different areas, and by investing in practical cooperation initiatives and exchange of good practices</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Connect to Common COI Portal.</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Contribute to EASO COI, policy, data provision.</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Exchange good practices and explore possibilities of i.a. pooling of case officers, mechanisms to enhance decision-making processes, mutual recognition of asylum decisions.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DO/R:</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CEAS is further harmonised and realised.</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Increased use of EASO developed tools and practical cooperation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3"/>
        <w:gridCol w:w="4007"/>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38" w:name="_Toc256000043"/>
            <w:bookmarkStart w:id="39" w:name="_Toc256000101"/>
            <w:bookmarkStart w:id="40" w:name="_Toc256000159"/>
            <w:r w:rsidRPr="00CE4D5C">
              <w:rPr>
                <w:noProof/>
              </w:rPr>
              <w:t>2</w:t>
            </w:r>
            <w:r w:rsidRPr="00CE4D5C">
              <w:t xml:space="preserve"> - </w:t>
            </w:r>
            <w:r w:rsidRPr="00CE4D5C">
              <w:rPr>
                <w:noProof/>
              </w:rPr>
              <w:t>Évaluation</w:t>
            </w:r>
            <w:bookmarkEnd w:id="40"/>
            <w:bookmarkEnd w:id="39"/>
            <w:bookmarkEnd w:id="38"/>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to be funded through AMIF funding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Action 7: Assure the quality and efficiency of the asylum procedure while taking into account the principle of frontloading.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Set up a common database for monitoring the asylum procedure.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Improve organizational aspects (i.a. interviews, credibility, interpreters services, reduction of processing times, human capital, training) via i.a. external expertise and ICT.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Continuous evaluation of the asylum system (also monitoring the chain process from asylum application to final decision on the asylum request).</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 efficient asylum decision-making procedure.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8: Streamline, harmonize and diversify information products on the asylum procedure and assure adequate provision of and access to legal aid.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Evaluate and improve the 'pro deo' system of free legal aid provided to all asylum seekers, independently of whether they are being detained or not.</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Develop streamlined information products (like brochures, video's, website, etc.) in multiple languages.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The level of legal aid is adequate.</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All applicants/stakeholders have easier access to legal and procedural information.</w:t>
            </w:r>
          </w:p>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6"/>
        <w:gridCol w:w="4384"/>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41" w:name="_Toc256000044"/>
            <w:bookmarkStart w:id="42" w:name="_Toc256000102"/>
            <w:bookmarkStart w:id="43" w:name="_Toc256000160"/>
            <w:r w:rsidRPr="00CE4D5C">
              <w:rPr>
                <w:noProof/>
              </w:rPr>
              <w:t>3</w:t>
            </w:r>
            <w:r w:rsidRPr="00CE4D5C">
              <w:t xml:space="preserve"> - </w:t>
            </w:r>
            <w:r w:rsidRPr="00CE4D5C">
              <w:rPr>
                <w:noProof/>
              </w:rPr>
              <w:t>Réinstallation</w:t>
            </w:r>
            <w:bookmarkEnd w:id="43"/>
            <w:bookmarkEnd w:id="42"/>
            <w:bookmarkEnd w:id="41"/>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to be funded through AMIF funding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9: Increase Belgian involvement on issues of external dimension of asylum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w:t>
            </w:r>
          </w:p>
          <w:p>
            <w:pPr>
              <w:numPr>
                <w:ilvl w:val="0"/>
                <w:numId w:val="5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Strengthening of infrastructure and services relevant to migration and asylum in Regional Development and Protection Programmes (RDPP) countries. Concrete countries have not yet been selected but Morocco and Jordan are possible destinations.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The asylum authorities in the specific countries have improved their protection capacity (e.g. have a functioning asylum system)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10: Establish a solid resettlement programme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Development of processes from selection to individual assistance.</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Information sessions and regular consultations, continuous communication, in particular through the official website.</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Fixing resettlement priorities, operational and budgetary planning, consultation steering (resettlement stakeholders meetings), continuous follow-up/evaluation of operations, exchange of best practices and international coordination,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The operational processes have been developed.</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Strengthened awareness of operators and potential partners (local and regional level) as well as of the general public.</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Maintained and expanded commitment to participate in resettlement schemes with the creation of sustainable resettlement conditions on an annual basis.</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Strengthened coordination of the resettlement programme by Fedasil and the Office of the Commissioner General for Refugees and Stateless Persons (CGRS).</w:t>
            </w:r>
          </w:p>
          <w:p w:rsidR="00AE5C5A" w:rsidRPr="00AE5C5A" w:rsidP="00CF34E2">
            <w:pPr>
              <w:spacing w:before="0" w:after="0"/>
            </w:pPr>
          </w:p>
        </w:tc>
      </w:tr>
    </w:tbl>
    <w:p w:rsidR="00BF1817" w:rsidP="00C13D6C">
      <w:pPr>
        <w:spacing w:before="0" w:after="0"/>
      </w:pPr>
    </w:p>
    <w:tbl>
      <w:tblPr>
        <w:tblStyle w:val="TableNormal"/>
        <w:tblW w:w="5000" w:type="pct"/>
        <w:tblInd w:w="108" w:type="dxa"/>
        <w:tblLook w:val="04A0"/>
      </w:tblPr>
      <w:tblGrid>
        <w:gridCol w:w="4343"/>
        <w:gridCol w:w="4619"/>
      </w:tblGrid>
      <w:tr w:rsidTr="00A93145">
        <w:tblPrEx>
          <w:tblW w:w="5000" w:type="pct"/>
          <w:tblInd w:w="108" w:type="dxa"/>
          <w:tblLook w:val="04A0"/>
        </w:tblPrEx>
        <w:trPr>
          <w:gridAfter w:val="1"/>
          <w:trHeight w:val="170"/>
        </w:trPr>
        <w:tc>
          <w:tcPr>
            <w:shd w:val="clear" w:color="auto" w:fill="auto"/>
          </w:tcPr>
          <w:p w:rsidR="00D36579" w:rsidRPr="00A93145" w:rsidP="00175974">
            <w:pPr>
              <w:pStyle w:val="Heading4"/>
              <w:numPr>
                <w:ilvl w:val="0"/>
                <w:numId w:val="0"/>
              </w:numPr>
              <w:spacing w:before="0" w:after="0"/>
              <w:rPr>
                <w:color w:val="FFFFFF"/>
              </w:rPr>
            </w:pPr>
            <w:bookmarkStart w:id="44" w:name="_Toc256000045"/>
            <w:bookmarkStart w:id="45" w:name="_Toc256000103"/>
            <w:bookmarkStart w:id="46" w:name="_Toc256000161"/>
            <w:r w:rsidRPr="00A93145">
              <w:rPr>
                <w:noProof/>
                <w:color w:val="FFFFFF"/>
              </w:rPr>
              <w:t>Actions spécifiques</w:t>
            </w:r>
            <w:bookmarkEnd w:id="46"/>
            <w:bookmarkEnd w:id="45"/>
            <w:bookmarkEnd w:id="44"/>
          </w:p>
        </w:tc>
      </w:tr>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47" w:name="_Toc256000046"/>
            <w:bookmarkStart w:id="48" w:name="_Toc256000104"/>
            <w:bookmarkStart w:id="49" w:name="_Toc256000162"/>
            <w:r w:rsidRPr="00CE4D5C">
              <w:rPr>
                <w:noProof/>
              </w:rPr>
              <w:t>1</w:t>
            </w:r>
            <w:bookmarkStart w:id="50" w:name="_Toc521575223"/>
            <w:bookmarkStart w:id="51" w:name="_Toc256000010"/>
            <w:r w:rsidRPr="00CE4D5C">
              <w:rPr>
                <w:lang w:val="it-IT"/>
              </w:rPr>
              <w:t xml:space="preserve"> - </w:t>
            </w:r>
            <w:r w:rsidRPr="00CE4D5C">
              <w:rPr>
                <w:noProof/>
              </w:rPr>
              <w:t>Centres de transit</w:t>
            </w:r>
            <w:bookmarkEnd w:id="49"/>
            <w:bookmarkEnd w:id="48"/>
            <w:bookmarkEnd w:id="47"/>
            <w:bookmarkEnd w:id="51"/>
            <w:bookmarkEnd w:id="50"/>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5544"/>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52" w:name="_Toc256000047"/>
            <w:bookmarkStart w:id="53" w:name="_Toc256000105"/>
            <w:bookmarkStart w:id="54" w:name="_Toc256000163"/>
            <w:r w:rsidRPr="00CE4D5C">
              <w:rPr>
                <w:noProof/>
              </w:rPr>
              <w:t>2</w:t>
            </w:r>
            <w:r w:rsidRPr="00CE4D5C">
              <w:rPr>
                <w:lang w:val="it-IT"/>
              </w:rPr>
              <w:t xml:space="preserve"> - </w:t>
            </w:r>
            <w:r w:rsidRPr="00CE4D5C">
              <w:rPr>
                <w:noProof/>
              </w:rPr>
              <w:t>Accès aux procédure d’asile</w:t>
            </w:r>
            <w:bookmarkEnd w:id="54"/>
            <w:bookmarkEnd w:id="53"/>
            <w:bookmarkEnd w:id="52"/>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Belgium will participate as partner in the following Specific Action: EU-FRANK (European Union action on Facilitating Resettlement and Access to Asylum through New Knowledge)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Lead MS: Sweden.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 participating Member State in the EU-FRANK action with lead Member State Sweden: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will contribute to the action in form of their specific expertise regarding resettlement and asylum procedures. The contribution can take the form of developing trainings, capacity building packages, participating in information exchange, mentorship, study visits, participating in the Steering Group, necessary meetings/workshops, evaluating the action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can contribute to the action financially or by nationally paid capacity.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objectives of the action are to increase the number of EU resettlement places through development and implementation of a comprehensive EU Resettlement Curriculum including new methods, technical support equipment, training, capacity building as well as closer practical cooperation and exchange of experience and knowledge.</w:t>
            </w:r>
          </w:p>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5364"/>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E76F3F" w:rsidP="00C13D6C">
            <w:pPr>
              <w:spacing w:before="0" w:after="0"/>
              <w:jc w:val="left"/>
              <w:rPr>
                <w:b/>
              </w:rPr>
            </w:pPr>
            <w:r>
              <w:rPr>
                <w:b/>
                <w:noProof/>
              </w:rPr>
              <w:t>Objectif spécifique</w:t>
            </w:r>
          </w:p>
        </w:tc>
        <w:tc>
          <w:tcPr>
            <w:shd w:val="clear" w:color="auto" w:fill="auto"/>
          </w:tcPr>
          <w:p w:rsidR="0084560F" w:rsidRPr="005D60C3" w:rsidP="00C13D6C">
            <w:pPr>
              <w:pStyle w:val="Heading2"/>
              <w:numPr>
                <w:ilvl w:val="0"/>
                <w:numId w:val="0"/>
              </w:numPr>
              <w:spacing w:before="0" w:after="0"/>
              <w:jc w:val="left"/>
            </w:pPr>
            <w:bookmarkStart w:id="55" w:name="_Toc256000048"/>
            <w:bookmarkStart w:id="56" w:name="_Toc256000106"/>
            <w:bookmarkStart w:id="57" w:name="_Toc256000164"/>
            <w:r w:rsidRPr="0083666D">
              <w:rPr>
                <w:rStyle w:val="Heading2Char"/>
                <w:noProof/>
              </w:rPr>
              <w:t>2</w:t>
            </w:r>
            <w:r>
              <w:t xml:space="preserve"> - </w:t>
            </w:r>
            <w:r w:rsidRPr="00CE4D5C">
              <w:rPr>
                <w:b w:val="0"/>
                <w:noProof/>
              </w:rPr>
              <w:t>Intégration/migration légale</w:t>
            </w:r>
            <w:bookmarkEnd w:id="57"/>
            <w:bookmarkEnd w:id="56"/>
            <w:bookmarkEnd w:id="55"/>
          </w:p>
        </w:tc>
      </w:tr>
    </w:tbl>
    <w:p w:rsidR="00DE3223" w:rsidP="00C13D6C">
      <w:pPr>
        <w:spacing w:before="0" w:after="0"/>
        <w:jc w:val="left"/>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INTEGRATION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Federal:</w:t>
            </w:r>
            <w:r>
              <w:rPr>
                <w:rFonts w:ascii="Times New Roman" w:eastAsia="Times New Roman" w:hAnsi="Times New Roman" w:cs="Times New Roman"/>
              </w:rPr>
              <w:t xml:space="preserve"> Promoting integration through intensive social activation trajectories of non-EU newcomers too far removed from the labour market and too vulnerable for other existing integration programmes. They are therefore complementary to regional integration activities.</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French speaking Community:</w:t>
            </w:r>
            <w:r>
              <w:rPr>
                <w:rFonts w:ascii="Times New Roman" w:eastAsia="Times New Roman" w:hAnsi="Times New Roman" w:cs="Times New Roman"/>
              </w:rPr>
              <w:t xml:space="preserve"> in Wallonia as in Brussels, a welcome/integration parcours for the target group in order to support and give the necessary information to ensure them a total autonomous life, increase their education level and decrease the employment rate gap.</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Flemish Community</w:t>
            </w:r>
            <w:r>
              <w:rPr>
                <w:rFonts w:ascii="Times New Roman" w:eastAsia="Times New Roman" w:hAnsi="Times New Roman" w:cs="Times New Roman"/>
              </w:rPr>
              <w:t>: an inclusive and horizontal policy in which the two way process is taken into account. This responds to the situations and dynamics related to the consequences of migration, with a view to realizing independent and proportional participation, accessibility of all facilities, active and shared citizenship, and social cohesion.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strategy of Flanders will be to finance policy interventions bringing innovative answers to the integration needs mentioned in the baseline study. These social policy experiments will be implemented on a small scale, in conditions which ensure the possibility of measuring their impact and in order to be repeated on a wider scale if the results prove to be convincing.</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German Speaking Community:</w:t>
            </w:r>
            <w:r>
              <w:rPr>
                <w:rFonts w:ascii="Times New Roman" w:eastAsia="Times New Roman" w:hAnsi="Times New Roman" w:cs="Times New Roman"/>
              </w:rPr>
              <w:t xml:space="preserve"> focus on improving cooperation between services and on supporting cultural and anti-discrimination activities as well as civic orientation and language classes. These activities would be open to asylum seekers and the intention is to cooperate with Germany where possible.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ESF will be used for general actions with a broad target group while the AMIF will be used to fund actions for the specific targets groups defined in the AMIF regulations. As both are managed by the same institutions the necessary attention is being given to prevent double financing.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Legal Migration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wants to continue efforts to increase the efficiency of its legal migration procedures and in particular to speed up legal migration channels for bona fide applicants. To this end, Belgium wants to obtain a more detailed profile of the population which has introduced a request to stay, improve processes, detect abuses early and safeguard the efficiency of procedures. Belgium needs to further  improve the quality and access of information on TCNs living in Belgium or applying for stay in the most important countries of origin.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Update due to regulation (2018/2000)</w:t>
            </w:r>
            <w:r>
              <w:rPr>
                <w:rFonts w:ascii="Times New Roman" w:eastAsia="Times New Roman" w:hAnsi="Times New Roman" w:cs="Times New Roman"/>
              </w:rPr>
              <w:t>: 4.5 million Euro is added to this Specific Objective and will be used to strenghten the ongoing actions, mainly on regional level.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C13D6C" w:rsidP="00CF34E2">
            <w:pPr>
              <w:spacing w:before="0" w:after="0"/>
            </w:pPr>
          </w:p>
        </w:tc>
      </w:tr>
    </w:tbl>
    <w:p w:rsidR="00A93145" w:rsidRPr="00A93145" w:rsidP="00A93145">
      <w:pPr>
        <w:spacing w:before="0" w:after="0"/>
        <w:rPr>
          <w:vanish/>
        </w:rPr>
      </w:pPr>
    </w:p>
    <w:tbl>
      <w:tblPr>
        <w:tblStyle w:val="TableNormal"/>
        <w:tblW w:w="5000" w:type="pct"/>
        <w:tblInd w:w="108" w:type="dxa"/>
        <w:tblLook w:val="04A0"/>
      </w:tblPr>
      <w:tblGrid>
        <w:gridCol w:w="8962"/>
      </w:tblGrid>
      <w:tr w:rsidTr="00A93145">
        <w:tblPrEx>
          <w:tblW w:w="5000" w:type="pct"/>
          <w:tblInd w:w="108" w:type="dxa"/>
          <w:tblLook w:val="04A0"/>
        </w:tblPrEx>
        <w:trPr>
          <w:trHeight w:val="170"/>
        </w:trPr>
        <w:tc>
          <w:tcPr>
            <w:shd w:val="clear" w:color="auto" w:fill="auto"/>
          </w:tcPr>
          <w:p w:rsidR="004D189D" w:rsidRPr="00A93145" w:rsidP="00175974">
            <w:pPr>
              <w:pStyle w:val="Heading4"/>
              <w:numPr>
                <w:ilvl w:val="0"/>
                <w:numId w:val="0"/>
              </w:numPr>
              <w:spacing w:before="0" w:after="0"/>
              <w:rPr>
                <w:b/>
                <w:color w:val="FFFFFF"/>
              </w:rPr>
            </w:pPr>
            <w:bookmarkStart w:id="58" w:name="_Toc256000049"/>
            <w:bookmarkStart w:id="59" w:name="_Toc256000107"/>
            <w:bookmarkStart w:id="60" w:name="_Toc256000165"/>
            <w:r w:rsidRPr="00A93145">
              <w:rPr>
                <w:b/>
                <w:noProof/>
                <w:color w:val="FFFFFF"/>
              </w:rPr>
              <w:t>Objectifs nationaux</w:t>
            </w:r>
            <w:bookmarkEnd w:id="60"/>
            <w:bookmarkEnd w:id="59"/>
            <w:bookmarkEnd w:id="58"/>
          </w:p>
        </w:tc>
      </w:tr>
    </w:tbl>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673"/>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61" w:name="_Toc256000050"/>
            <w:bookmarkStart w:id="62" w:name="_Toc256000108"/>
            <w:bookmarkStart w:id="63" w:name="_Toc256000166"/>
            <w:r w:rsidRPr="00CE4D5C">
              <w:rPr>
                <w:noProof/>
              </w:rPr>
              <w:t>1</w:t>
            </w:r>
            <w:r w:rsidRPr="00CE4D5C">
              <w:t xml:space="preserve"> - </w:t>
            </w:r>
            <w:r w:rsidRPr="00CE4D5C">
              <w:rPr>
                <w:noProof/>
              </w:rPr>
              <w:t>Migration légale</w:t>
            </w:r>
            <w:bookmarkEnd w:id="63"/>
            <w:bookmarkEnd w:id="62"/>
            <w:bookmarkEnd w:id="61"/>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026"/>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64" w:name="_Toc256000051"/>
            <w:bookmarkStart w:id="65" w:name="_Toc256000109"/>
            <w:bookmarkStart w:id="66" w:name="_Toc256000167"/>
            <w:r w:rsidRPr="00CE4D5C">
              <w:rPr>
                <w:noProof/>
              </w:rPr>
              <w:t>2</w:t>
            </w:r>
            <w:r w:rsidRPr="00CE4D5C">
              <w:t xml:space="preserve"> - </w:t>
            </w:r>
            <w:r w:rsidRPr="00CE4D5C">
              <w:rPr>
                <w:noProof/>
              </w:rPr>
              <w:t>Intégration</w:t>
            </w:r>
            <w:bookmarkEnd w:id="66"/>
            <w:bookmarkEnd w:id="65"/>
            <w:bookmarkEnd w:id="64"/>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(including those linked to the EU action plan on integration of TCN)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11 (federal): Promote integration by offering individualized trajectories to non-EU newcomers (including beneficiaries of international protection) through intensive social activation trajectories guided by the larger PSWC's, and offering external expert support to the PSWC’s offering social activation trajectories to TCN.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Narrowed employment rate gap between TCN and EU citizens/Belgians.</w:t>
            </w:r>
          </w:p>
          <w:p>
            <w:pPr>
              <w:numPr>
                <w:ilvl w:val="0"/>
                <w:numId w:val="6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Ensured availability and uptake of language courses.</w:t>
            </w:r>
          </w:p>
          <w:p>
            <w:pPr>
              <w:numPr>
                <w:ilvl w:val="0"/>
                <w:numId w:val="6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Combine AMIF and ESF without any overlap.</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12 (FR): Support a welcome course through support, reception and guidance. Ensure an adequate offer of French language or literacy courses and initiation modules to citizenship with more flexibility in function of needs in the field. Further development and improvement of the tools for the personnel in the sector.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All non-EU newcomers (including beneficiaries of international protection) are offered language trainings to obtain level A2.</w:t>
            </w:r>
          </w:p>
          <w:p>
            <w:pPr>
              <w:numPr>
                <w:ilvl w:val="0"/>
                <w:numId w:val="6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An initiation module to citizenship is developed and disseminated, stand-alone or integrated in the French language courses.</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As long term objective there is the increase of employment rate for non-EU citizens.</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13 (FL): create an inclusive integration policy in cooperation with other policy domains and take measures implementing the Action Plan on the integration of TCN’s, in particular those carried out by civil society organizations and regional and local authorities in the context of comprehensive integration strategies.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Support initiatives and projects to promote access to the labor market.</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Mainstreaming tailormade approach for TCN’s in horizontal integration policy.</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Actions according to the needs of specific target groups (illiterate, youth, woman, …).</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Research actions or strategy development.</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Actions to prevent unqualified outflow in education and segregation in certain cities.</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Invest in projects and measures aimed at combating prejudice and stereotypes.</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Actions to stimulate exchange on norms and values, intercultural dialogue and policy participation.</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Develop technological tools for integration.</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Targeted actions are tested and implemented.</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Existing actions are screened, identifying defective influx’s or failures of the target group (non-reached TCN’s, outflow, etc.) and new actions are started.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14 (GSC): Create a desk at local level to manage the coordination of integration strategies as well as to ensure assistance for all TCN with a special focus on families, unaccompanied minors or young adults.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Support for the actors on the field</w:t>
            </w:r>
          </w:p>
          <w:p>
            <w:pPr>
              <w:numPr>
                <w:ilvl w:val="0"/>
                <w:numId w:val="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Promotion of Social inclusion</w:t>
            </w:r>
          </w:p>
          <w:p>
            <w:pPr>
              <w:numPr>
                <w:ilvl w:val="0"/>
                <w:numId w:val="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Enhanced protection and assistance for vulnerable TCN (unaccompanied minors or young adults)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3713"/>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67" w:name="_Toc256000052"/>
            <w:bookmarkStart w:id="68" w:name="_Toc256000110"/>
            <w:bookmarkStart w:id="69" w:name="_Toc256000168"/>
            <w:r w:rsidRPr="00CE4D5C">
              <w:rPr>
                <w:noProof/>
              </w:rPr>
              <w:t>3</w:t>
            </w:r>
            <w:r w:rsidRPr="00CE4D5C">
              <w:t xml:space="preserve"> - </w:t>
            </w:r>
            <w:r w:rsidRPr="00CE4D5C">
              <w:rPr>
                <w:noProof/>
              </w:rPr>
              <w:t>Capacité</w:t>
            </w:r>
            <w:bookmarkEnd w:id="69"/>
            <w:bookmarkEnd w:id="68"/>
            <w:bookmarkEnd w:id="67"/>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to be funded through AMIF funding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15: Update and development of Immigration Office's IT Tools related to legal migration and stay.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Increase the capacity to detect abuses.</w:t>
            </w:r>
          </w:p>
          <w:p>
            <w:pPr>
              <w:numPr>
                <w:ilvl w:val="0"/>
                <w:numId w:val="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Improve efficiency of the procedures.</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Action 16: Increase the activities in the countries of origin by migration experts.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Organize information campaigns on the possibilities and rights, dangers and risks of illegal migration or collaborating with pseudo-legal migration practices. Concrete destination countries are not selected yet as this depends on a needs analysis but Congo DRC and Morocco can at this time be considered potential destinations.</w:t>
            </w:r>
          </w:p>
          <w:p>
            <w:pPr>
              <w:numPr>
                <w:ilvl w:val="0"/>
                <w:numId w:val="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Deploy migration experts to verify documents and source documents or interview potential migrants to prevent fraud in e.g. family reunification applications.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6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Decrease of fraud and irregular migration from targeted countries.</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w:t>
            </w:r>
          </w:p>
          <w:p w:rsidR="00AE5C5A" w:rsidRPr="00AE5C5A" w:rsidP="00CF34E2">
            <w:pPr>
              <w:spacing w:before="0" w:after="0"/>
            </w:pPr>
          </w:p>
        </w:tc>
      </w:tr>
    </w:tbl>
    <w:p w:rsidR="00BF1817" w:rsidP="00C13D6C">
      <w:pPr>
        <w:spacing w:before="0" w:after="0"/>
      </w:pPr>
    </w:p>
    <w:tbl>
      <w:tblPr>
        <w:tblStyle w:val="TableNormal"/>
        <w:tblW w:w="5000" w:type="pct"/>
        <w:tblInd w:w="108" w:type="dxa"/>
        <w:tblLook w:val="04A0"/>
      </w:tblPr>
      <w:tblGrid>
        <w:gridCol w:w="4039"/>
        <w:gridCol w:w="4923"/>
      </w:tblGrid>
      <w:tr w:rsidTr="00A93145">
        <w:tblPrEx>
          <w:tblW w:w="5000" w:type="pct"/>
          <w:tblInd w:w="108" w:type="dxa"/>
          <w:tblLook w:val="04A0"/>
        </w:tblPrEx>
        <w:trPr>
          <w:gridAfter w:val="1"/>
          <w:trHeight w:val="170"/>
        </w:trPr>
        <w:tc>
          <w:tcPr>
            <w:shd w:val="clear" w:color="auto" w:fill="auto"/>
          </w:tcPr>
          <w:p w:rsidR="00D36579" w:rsidRPr="00A93145" w:rsidP="00175974">
            <w:pPr>
              <w:pStyle w:val="Heading4"/>
              <w:numPr>
                <w:ilvl w:val="0"/>
                <w:numId w:val="0"/>
              </w:numPr>
              <w:spacing w:before="0" w:after="0"/>
              <w:rPr>
                <w:color w:val="FFFFFF"/>
              </w:rPr>
            </w:pPr>
            <w:bookmarkStart w:id="70" w:name="_Toc256000053"/>
            <w:bookmarkStart w:id="71" w:name="_Toc256000111"/>
            <w:bookmarkStart w:id="72" w:name="_Toc256000169"/>
            <w:r w:rsidRPr="00A93145">
              <w:rPr>
                <w:noProof/>
                <w:color w:val="FFFFFF"/>
              </w:rPr>
              <w:t>Actions spécifiques</w:t>
            </w:r>
            <w:bookmarkEnd w:id="72"/>
            <w:bookmarkEnd w:id="71"/>
            <w:bookmarkEnd w:id="70"/>
          </w:p>
        </w:tc>
      </w:tr>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73" w:name="_Toc256000054"/>
            <w:bookmarkStart w:id="74" w:name="_Toc256000112"/>
            <w:bookmarkStart w:id="75" w:name="_Toc256000170"/>
            <w:r w:rsidRPr="00CE4D5C">
              <w:rPr>
                <w:noProof/>
              </w:rPr>
              <w:t>3</w:t>
            </w:r>
            <w:r w:rsidRPr="00CE4D5C">
              <w:rPr>
                <w:lang w:val="it-IT"/>
              </w:rPr>
              <w:t xml:space="preserve"> - </w:t>
            </w:r>
            <w:r w:rsidRPr="00CE4D5C">
              <w:rPr>
                <w:noProof/>
              </w:rPr>
              <w:t>Initiatives conjointes</w:t>
            </w:r>
            <w:bookmarkEnd w:id="75"/>
            <w:bookmarkEnd w:id="74"/>
            <w:bookmarkEnd w:id="73"/>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0"/>
        <w:gridCol w:w="5452"/>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76" w:name="_Toc256000055"/>
            <w:bookmarkStart w:id="77" w:name="_Toc256000113"/>
            <w:bookmarkStart w:id="78" w:name="_Toc256000171"/>
            <w:r w:rsidRPr="00CE4D5C">
              <w:rPr>
                <w:noProof/>
              </w:rPr>
              <w:t>4</w:t>
            </w:r>
            <w:r w:rsidRPr="00CE4D5C">
              <w:rPr>
                <w:lang w:val="it-IT"/>
              </w:rPr>
              <w:t xml:space="preserve"> - </w:t>
            </w:r>
            <w:r w:rsidRPr="00CE4D5C">
              <w:rPr>
                <w:noProof/>
              </w:rPr>
              <w:t>Mineurs non accompagnés</w:t>
            </w:r>
            <w:bookmarkEnd w:id="78"/>
            <w:bookmarkEnd w:id="77"/>
            <w:bookmarkEnd w:id="76"/>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4"/>
        <w:gridCol w:w="4628"/>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79" w:name="_Toc256000056"/>
            <w:bookmarkStart w:id="80" w:name="_Toc256000114"/>
            <w:bookmarkStart w:id="81" w:name="_Toc256000172"/>
            <w:r w:rsidRPr="00CE4D5C">
              <w:rPr>
                <w:noProof/>
              </w:rPr>
              <w:t>8</w:t>
            </w:r>
            <w:r w:rsidRPr="00CE4D5C">
              <w:rPr>
                <w:lang w:val="it-IT"/>
              </w:rPr>
              <w:t xml:space="preserve"> - </w:t>
            </w:r>
            <w:r w:rsidRPr="00CE4D5C">
              <w:rPr>
                <w:noProof/>
              </w:rPr>
              <w:t>Migration légale</w:t>
            </w:r>
            <w:bookmarkEnd w:id="81"/>
            <w:bookmarkEnd w:id="80"/>
            <w:bookmarkEnd w:id="79"/>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Belgium will participate in the following Specific Action: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WAT-Action (lead Member State: the Netherlands)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objective is to identify best practices and to share and analyse information on how to make application procedures more customer-friendly and manage big data, and information included in application forms, to be distributed to applicants or used in risk profiling. As participating Member State we will share experiences and develop good practices with other Member States.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 a participating MS Belgium will:</w:t>
            </w:r>
          </w:p>
          <w:p>
            <w:pPr>
              <w:numPr>
                <w:ilvl w:val="0"/>
                <w:numId w:val="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take part in the Steering Group determining/evaluating the action and in study visits, necessary meetings/workshops to obtain the goals of the action</w:t>
            </w:r>
          </w:p>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deploy content experts/analysers working on identification, improvement and implementation within the NCP network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Belgium is not required to contribute financially.</w:t>
            </w:r>
          </w:p>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5"/>
        <w:gridCol w:w="3207"/>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E76F3F" w:rsidP="00C13D6C">
            <w:pPr>
              <w:spacing w:before="0" w:after="0"/>
              <w:jc w:val="left"/>
              <w:rPr>
                <w:b/>
              </w:rPr>
            </w:pPr>
            <w:r>
              <w:rPr>
                <w:b/>
                <w:noProof/>
              </w:rPr>
              <w:t>Objectif spécifique</w:t>
            </w:r>
          </w:p>
        </w:tc>
        <w:tc>
          <w:tcPr>
            <w:shd w:val="clear" w:color="auto" w:fill="auto"/>
          </w:tcPr>
          <w:p w:rsidR="0084560F" w:rsidRPr="005D60C3" w:rsidP="00C13D6C">
            <w:pPr>
              <w:pStyle w:val="Heading2"/>
              <w:numPr>
                <w:ilvl w:val="0"/>
                <w:numId w:val="0"/>
              </w:numPr>
              <w:spacing w:before="0" w:after="0"/>
              <w:jc w:val="left"/>
            </w:pPr>
            <w:bookmarkStart w:id="82" w:name="_Toc256000057"/>
            <w:bookmarkStart w:id="83" w:name="_Toc256000115"/>
            <w:bookmarkStart w:id="84" w:name="_Toc256000173"/>
            <w:r w:rsidRPr="0083666D">
              <w:rPr>
                <w:rStyle w:val="Heading2Char"/>
                <w:noProof/>
              </w:rPr>
              <w:t>3</w:t>
            </w:r>
            <w:r>
              <w:t xml:space="preserve"> - </w:t>
            </w:r>
            <w:r w:rsidRPr="00CE4D5C">
              <w:rPr>
                <w:b w:val="0"/>
                <w:noProof/>
              </w:rPr>
              <w:t>Retour</w:t>
            </w:r>
            <w:bookmarkEnd w:id="84"/>
            <w:bookmarkEnd w:id="83"/>
            <w:bookmarkEnd w:id="82"/>
          </w:p>
        </w:tc>
      </w:tr>
    </w:tbl>
    <w:p w:rsidR="00DE3223" w:rsidP="00C13D6C">
      <w:pPr>
        <w:spacing w:before="0" w:after="0"/>
        <w:jc w:val="left"/>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Introduction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fully supports that TCNs who can no longer stay in a MS, should first be encouraged to return on a voluntary basis before resorting to forced return. This implies investments in a programme that will facilitate voluntary return (VR) as much as possible.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invested in the development of a VR programme in the framework of the European Return Fund (RF) and intends to continue under the AMIF along the same lines.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For both voluntary and forced return, the focus will be on </w:t>
            </w:r>
            <w:r>
              <w:rPr>
                <w:rFonts w:ascii="Times New Roman" w:eastAsia="Times New Roman" w:hAnsi="Times New Roman" w:cs="Times New Roman"/>
                <w:u w:val="single"/>
              </w:rPr>
              <w:t>closer cooperation with countries of origin</w:t>
            </w:r>
            <w:r>
              <w:rPr>
                <w:rFonts w:ascii="Times New Roman" w:eastAsia="Times New Roman" w:hAnsi="Times New Roman" w:cs="Times New Roman"/>
              </w:rPr>
              <w:t xml:space="preserve">, improving the efficiency and speed of procedures (including through </w:t>
            </w:r>
            <w:r>
              <w:rPr>
                <w:rFonts w:ascii="Times New Roman" w:eastAsia="Times New Roman" w:hAnsi="Times New Roman" w:cs="Times New Roman"/>
                <w:u w:val="single"/>
              </w:rPr>
              <w:t>IT tools</w:t>
            </w:r>
            <w:r>
              <w:rPr>
                <w:rFonts w:ascii="Times New Roman" w:eastAsia="Times New Roman" w:hAnsi="Times New Roman" w:cs="Times New Roman"/>
              </w:rPr>
              <w:t>) and reserving special attention to vulnerable groups and specific needs.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Voluntary return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The objective of the VR programme is to make a VR feasible. To achieve this aim, the programme must be both problem solving (removal of obstacles complicating a return) </w:t>
            </w:r>
            <w:r>
              <w:rPr>
                <w:rFonts w:ascii="Times New Roman" w:eastAsia="Times New Roman" w:hAnsi="Times New Roman" w:cs="Times New Roman"/>
                <w:u w:val="single"/>
              </w:rPr>
              <w:t>and accessible</w:t>
            </w:r>
            <w:r>
              <w:rPr>
                <w:rFonts w:ascii="Times New Roman" w:eastAsia="Times New Roman" w:hAnsi="Times New Roman" w:cs="Times New Roman"/>
              </w:rPr>
              <w:t xml:space="preserve"> (asylum seekers and irregular TCNs must know that the programme exists and access to it should be easy).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The programme is coordinated by a </w:t>
            </w:r>
            <w:r>
              <w:rPr>
                <w:rFonts w:ascii="Times New Roman" w:eastAsia="Times New Roman" w:hAnsi="Times New Roman" w:cs="Times New Roman"/>
                <w:b/>
                <w:bCs/>
              </w:rPr>
              <w:t>coordination unit</w:t>
            </w:r>
            <w:r>
              <w:rPr>
                <w:rFonts w:ascii="Times New Roman" w:eastAsia="Times New Roman" w:hAnsi="Times New Roman" w:cs="Times New Roman"/>
              </w:rPr>
              <w:t xml:space="preserve"> within Fedasil to ensure that all VR activities are coherent. The RF has invested in an efficient management of the programme, focusing on consistency between the different activities and actors and the development of a management and control cycle. Under the AMIF the </w:t>
            </w:r>
            <w:r>
              <w:rPr>
                <w:rFonts w:ascii="Times New Roman" w:eastAsia="Times New Roman" w:hAnsi="Times New Roman" w:cs="Times New Roman"/>
                <w:u w:val="single"/>
              </w:rPr>
              <w:t xml:space="preserve">tailor-made reintegration assistance </w:t>
            </w:r>
            <w:r>
              <w:rPr>
                <w:rFonts w:ascii="Times New Roman" w:eastAsia="Times New Roman" w:hAnsi="Times New Roman" w:cs="Times New Roman"/>
              </w:rPr>
              <w:t xml:space="preserve">will remain a priority as well as </w:t>
            </w:r>
            <w:r>
              <w:rPr>
                <w:rFonts w:ascii="Times New Roman" w:eastAsia="Times New Roman" w:hAnsi="Times New Roman" w:cs="Times New Roman"/>
                <w:u w:val="single"/>
              </w:rPr>
              <w:t>increased cooperation with other MS to organise the VR in a more coherent way.</w:t>
            </w:r>
            <w:r>
              <w:rPr>
                <w:rFonts w:ascii="Times New Roman" w:eastAsia="Times New Roman" w:hAnsi="Times New Roman" w:cs="Times New Roman"/>
              </w:rPr>
              <w:t xml:space="preserve"> As appropriate, the assistance will be provided in coordination with other similar initiatives in the countries of origin.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Integrated and forced return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BE wishes to build upon positive results of actions supported by the RF and reinforce international cooperation by further developing a </w:t>
            </w:r>
            <w:r>
              <w:rPr>
                <w:rFonts w:ascii="Times New Roman" w:eastAsia="Times New Roman" w:hAnsi="Times New Roman" w:cs="Times New Roman"/>
                <w:u w:val="single"/>
              </w:rPr>
              <w:t>humane and effective approach to return</w:t>
            </w:r>
            <w:r>
              <w:rPr>
                <w:rFonts w:ascii="Times New Roman" w:eastAsia="Times New Roman" w:hAnsi="Times New Roman" w:cs="Times New Roman"/>
              </w:rPr>
              <w:t xml:space="preserve"> relying on the following orientations:</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limit the use of detention by encouraging VR across the board and further develop </w:t>
            </w:r>
            <w:r>
              <w:rPr>
                <w:rFonts w:ascii="Times New Roman" w:eastAsia="Times New Roman" w:hAnsi="Times New Roman" w:cs="Times New Roman"/>
                <w:u w:val="single"/>
              </w:rPr>
              <w:t>alternatives to detention;</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where detention is still needed, </w:t>
            </w:r>
            <w:r>
              <w:rPr>
                <w:rFonts w:ascii="Times New Roman" w:eastAsia="Times New Roman" w:hAnsi="Times New Roman" w:cs="Times New Roman"/>
                <w:u w:val="single"/>
              </w:rPr>
              <w:t>improve living conditions in detention centres</w:t>
            </w:r>
            <w:r>
              <w:rPr>
                <w:rFonts w:ascii="Times New Roman" w:eastAsia="Times New Roman" w:hAnsi="Times New Roman" w:cs="Times New Roman"/>
              </w:rPr>
              <w:t>, and shorten detention times through enhanced return coaching and a speedier identification process;</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limit forced return by improving </w:t>
            </w:r>
            <w:r>
              <w:rPr>
                <w:rFonts w:ascii="Times New Roman" w:eastAsia="Times New Roman" w:hAnsi="Times New Roman" w:cs="Times New Roman"/>
                <w:u w:val="single"/>
              </w:rPr>
              <w:t>return coaching</w:t>
            </w:r>
            <w:r>
              <w:rPr>
                <w:rFonts w:ascii="Times New Roman" w:eastAsia="Times New Roman" w:hAnsi="Times New Roman" w:cs="Times New Roman"/>
              </w:rPr>
              <w:t>  and offering appropriate AVR packages ;</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where return is enforced, improve the conditions and effectiveness of return operations including through a system of monitoring and using JRO;</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develop advanced ICT tools to provide reliable return related data and support procedures ;</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seek durable return solutions for vulnerable TCNs and UAM;</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collaboration with countries of origin is particularly needed to speed-up identification and issuing of laissez-passer documents.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also leads the SA EUR-LO creating European Return Liaison Officers aiming at an enlargement and increased cost-effectiveness of the existing network of return- and migration officers. This action was reinforced with the 2017 top-up received by the EC.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Update due to regulation (2018/2000)</w:t>
            </w:r>
            <w:r>
              <w:rPr>
                <w:rFonts w:ascii="Times New Roman" w:eastAsia="Times New Roman" w:hAnsi="Times New Roman" w:cs="Times New Roman"/>
              </w:rPr>
              <w:t>: 4.2 M Euro is added to this SO and will be used to strenghten the ongoing actions.</w:t>
            </w:r>
          </w:p>
          <w:p w:rsidR="00C13D6C" w:rsidP="00CF34E2">
            <w:pPr>
              <w:spacing w:before="0" w:after="0"/>
            </w:pPr>
          </w:p>
        </w:tc>
      </w:tr>
    </w:tbl>
    <w:p w:rsidR="00A93145" w:rsidRPr="00A93145" w:rsidP="00A93145">
      <w:pPr>
        <w:spacing w:before="0" w:after="0"/>
        <w:rPr>
          <w:vanish/>
        </w:rPr>
      </w:pPr>
    </w:p>
    <w:tbl>
      <w:tblPr>
        <w:tblStyle w:val="TableNormal"/>
        <w:tblW w:w="5000" w:type="pct"/>
        <w:tblInd w:w="108" w:type="dxa"/>
        <w:tblLook w:val="04A0"/>
      </w:tblPr>
      <w:tblGrid>
        <w:gridCol w:w="8962"/>
      </w:tblGrid>
      <w:tr w:rsidTr="00A93145">
        <w:tblPrEx>
          <w:tblW w:w="5000" w:type="pct"/>
          <w:tblInd w:w="108" w:type="dxa"/>
          <w:tblLook w:val="04A0"/>
        </w:tblPrEx>
        <w:trPr>
          <w:trHeight w:val="170"/>
        </w:trPr>
        <w:tc>
          <w:tcPr>
            <w:shd w:val="clear" w:color="auto" w:fill="auto"/>
          </w:tcPr>
          <w:p w:rsidR="004D189D" w:rsidRPr="00A93145" w:rsidP="00175974">
            <w:pPr>
              <w:pStyle w:val="Heading4"/>
              <w:numPr>
                <w:ilvl w:val="0"/>
                <w:numId w:val="0"/>
              </w:numPr>
              <w:spacing w:before="0" w:after="0"/>
              <w:rPr>
                <w:b/>
                <w:color w:val="FFFFFF"/>
              </w:rPr>
            </w:pPr>
            <w:bookmarkStart w:id="85" w:name="_Toc256000058"/>
            <w:bookmarkStart w:id="86" w:name="_Toc256000116"/>
            <w:bookmarkStart w:id="87" w:name="_Toc256000174"/>
            <w:r w:rsidRPr="00A93145">
              <w:rPr>
                <w:b/>
                <w:noProof/>
                <w:color w:val="FFFFFF"/>
              </w:rPr>
              <w:t>Objectifs nationaux</w:t>
            </w:r>
            <w:bookmarkEnd w:id="87"/>
            <w:bookmarkEnd w:id="86"/>
            <w:bookmarkEnd w:id="85"/>
          </w:p>
        </w:tc>
      </w:tr>
    </w:tbl>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4"/>
        <w:gridCol w:w="5616"/>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88" w:name="_Toc256000059"/>
            <w:bookmarkStart w:id="89" w:name="_Toc256000117"/>
            <w:bookmarkStart w:id="90" w:name="_Toc256000175"/>
            <w:r w:rsidRPr="00CE4D5C">
              <w:rPr>
                <w:noProof/>
              </w:rPr>
              <w:t>1</w:t>
            </w:r>
            <w:r w:rsidRPr="00CE4D5C">
              <w:t xml:space="preserve"> - </w:t>
            </w:r>
            <w:r w:rsidRPr="00CE4D5C">
              <w:rPr>
                <w:noProof/>
              </w:rPr>
              <w:t>Mesures d’accompagnement</w:t>
            </w:r>
            <w:bookmarkEnd w:id="90"/>
            <w:bookmarkEnd w:id="89"/>
            <w:bookmarkEnd w:id="88"/>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 to be funded through AMIF funding is:</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17:Maximise the access to the voluntary return programme.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Further diversify the communication strategy, developed and launched under the RF in order to make sure that the target group and their representatives know about the voluntary return programme and how to get access to it.</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Maintain and/or extend a network of return counsellors and NGO-partners to ensure that professional return counselling is offered to the entire target group.</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Maintain the return desk (Brussels) as the central initiative. The network and the return desk were implemented under the RF and will be continued under the AMIF.</w:t>
            </w:r>
          </w:p>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Internal consultation and training on the “return path” within the reception network to further develop and implement systematically the method of return counseling (developed under the RF). This return path is implemented for asylum seekers as from the beginning of the asylum procedure.  After a negative decision on their asylum request, asylum seekers are assigned to an open return place where individual tailor made return assistance is provided.</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D O/R:</w:t>
            </w:r>
          </w:p>
          <w:p>
            <w:pPr>
              <w:numPr>
                <w:ilvl w:val="0"/>
                <w:numId w:val="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First line social workers are trained and better equipped to provide the necessary assistance.</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Potential returnees have easy access to the Return Desk, open return places and receive individual assistance by qualified staff.</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 easily accessible, effective and intense communication strategy is implemented.</w:t>
            </w:r>
          </w:p>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4814"/>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91" w:name="_Toc256000060"/>
            <w:bookmarkStart w:id="92" w:name="_Toc256000118"/>
            <w:bookmarkStart w:id="93" w:name="_Toc256000176"/>
            <w:r w:rsidRPr="00CE4D5C">
              <w:rPr>
                <w:noProof/>
              </w:rPr>
              <w:t>2</w:t>
            </w:r>
            <w:r w:rsidRPr="00CE4D5C">
              <w:t xml:space="preserve"> - </w:t>
            </w:r>
            <w:r w:rsidRPr="00CE4D5C">
              <w:rPr>
                <w:noProof/>
              </w:rPr>
              <w:t>Mesures de retour</w:t>
            </w:r>
            <w:bookmarkEnd w:id="93"/>
            <w:bookmarkEnd w:id="92"/>
            <w:bookmarkEnd w:id="91"/>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(including those linked to the EU action plan on return) to be funded through AMIF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18:</w:t>
            </w:r>
            <w:r>
              <w:rPr>
                <w:rFonts w:ascii="Times New Roman" w:eastAsia="Times New Roman" w:hAnsi="Times New Roman" w:cs="Times New Roman"/>
                <w:i/>
                <w:iCs/>
                <w:u w:val="single"/>
              </w:rPr>
              <w:t xml:space="preserve"> </w:t>
            </w:r>
            <w:r>
              <w:rPr>
                <w:rFonts w:ascii="Times New Roman" w:eastAsia="Times New Roman" w:hAnsi="Times New Roman" w:cs="Times New Roman"/>
                <w:u w:val="single"/>
              </w:rPr>
              <w:t>Provide voluntary return and reintegration assistance..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 actions:</w:t>
            </w:r>
          </w:p>
          <w:p>
            <w:pPr>
              <w:numPr>
                <w:ilvl w:val="0"/>
                <w:numId w:val="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Provide reintegration support (up to a predefined ceiling).</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Implement strategies to adapt reintegration assistance / assistance by service providers to the specific needs of certain target groups (e.g. UAMs).</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Increase the capacity of local partners of the service providers, such as IOM and Caritas, through the development of capacity-building strategies to make sure that their local partners can make maximum use of the available support.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Returnees are assisted with tailor made reintegration assistance specifically adapted to the individual needs.</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Target groups are assisted based on specific strategies (tailor made and based on specific needs of the target group).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19: Implement integrated and forced return.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Examples:</w:t>
            </w:r>
          </w:p>
          <w:p>
            <w:pPr>
              <w:numPr>
                <w:ilvl w:val="0"/>
                <w:numId w:val="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Provide return support and accessible information regarding voluntary return, risks of irregular stay and their rights and duties in BE to TCN who have received an order to leave the territory</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Provide information campaigns on return measures and risks of irregular travel and stay to TCN planning to migrate to BE.</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Support of identification procedures (processes, information to stakeholders, information exchange, IT tools, return liaison officers), including measures in third countries (such as cooperation agreements, document verification officers, capacity building, etc.).</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Identify reliable medical COI for TCN with special needs and TCN in detention centres.</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Develop alternatives to detention and enhance coaching, especially for vulnerable people.</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Further improvement of living conditions in closed centres.</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Perform JROs.</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Perform monitoring of forced return operations.</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Further develop/update/maintain ICT tools (partly funded by RF13-6 TARAP, RF13-8 ACC ) to record and analyse data on returnees, and manage return related processes (including i.a. the management of  logistics, closed centres, transportation and follow-up of individual return decisions).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TCN are better informed about their legal situation, the return possibilities, their rights and duties.</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Persons who received a return decision are better monitored.</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Diversified and tailor made return measures are provided, detention is used as a last measure of resort.</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Target groups can stay in specialised open facilities as an alternative to detention.</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Assisted (voluntary) return, reintegration and reliable medical COI for TCN with special needs and TCN in detention centres.</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Persons held in centers are identified faster.</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More efficient and humane forced return operations and improved efficiency of the monitoring of forced return operations.</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 comprehensive information on the return process by improved ICT tools.</w:t>
            </w:r>
          </w:p>
          <w:p w:rsidR="00AE5C5A" w:rsidRPr="00AE5C5A" w:rsidP="00CF34E2">
            <w:pPr>
              <w:spacing w:before="0" w:after="0"/>
            </w:pPr>
          </w:p>
        </w:tc>
      </w:tr>
    </w:tbl>
    <w:p w:rsidR="00BF1817" w:rsidP="00C13D6C">
      <w:pPr>
        <w:spacing w:before="0" w:after="0"/>
      </w:pPr>
    </w:p>
    <w:tbl>
      <w:tblPr>
        <w:tblStyle w:val="TableNormal"/>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7"/>
        <w:gridCol w:w="4203"/>
      </w:tblGrid>
      <w:tr w:rsidTr="00ED72CA">
        <w:tblPrEx>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8830AC" w:rsidP="00C13D6C">
            <w:pPr>
              <w:spacing w:before="0" w:after="0"/>
              <w:rPr>
                <w:b/>
              </w:rPr>
            </w:pPr>
            <w:r w:rsidRPr="008830AC">
              <w:rPr>
                <w:b/>
                <w:noProof/>
              </w:rPr>
              <w:t>Objectif national</w:t>
            </w:r>
          </w:p>
        </w:tc>
        <w:tc>
          <w:tcPr>
            <w:shd w:val="clear" w:color="auto" w:fill="auto"/>
          </w:tcPr>
          <w:p w:rsidR="0084560F" w:rsidRPr="00CE4D5C" w:rsidP="00C13D6C">
            <w:pPr>
              <w:pStyle w:val="Heading4"/>
              <w:numPr>
                <w:ilvl w:val="0"/>
                <w:numId w:val="0"/>
              </w:numPr>
              <w:spacing w:before="0" w:after="0"/>
              <w:jc w:val="left"/>
            </w:pPr>
            <w:bookmarkStart w:id="94" w:name="_Toc256000061"/>
            <w:bookmarkStart w:id="95" w:name="_Toc256000119"/>
            <w:bookmarkStart w:id="96" w:name="_Toc256000177"/>
            <w:r w:rsidRPr="00CE4D5C">
              <w:rPr>
                <w:noProof/>
              </w:rPr>
              <w:t>3</w:t>
            </w:r>
            <w:r w:rsidRPr="00CE4D5C">
              <w:t xml:space="preserve"> - </w:t>
            </w:r>
            <w:r w:rsidRPr="00CE4D5C">
              <w:rPr>
                <w:noProof/>
              </w:rPr>
              <w:t>Coopération</w:t>
            </w:r>
            <w:bookmarkEnd w:id="96"/>
            <w:bookmarkEnd w:id="95"/>
            <w:bookmarkEnd w:id="94"/>
          </w:p>
        </w:tc>
      </w:tr>
    </w:tbl>
    <w:p w:rsidR="0084560F" w:rsidP="00C13D6C">
      <w:pPr>
        <w:spacing w:before="0" w:after="0"/>
        <w:rPr>
          <w:b/>
        </w:rPr>
      </w:pPr>
    </w:p>
    <w:tbl>
      <w:tblPr>
        <w:tblStyle w:val="TableNormal"/>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6"/>
      </w:tblGrid>
      <w:tr w:rsidTr="00CF34E2">
        <w:tblPrEx>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The main actions to be funded through AMIF funding are: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Action 20</w:t>
            </w:r>
            <w:r>
              <w:rPr>
                <w:rFonts w:ascii="Times New Roman" w:eastAsia="Times New Roman" w:hAnsi="Times New Roman" w:cs="Times New Roman"/>
                <w:i/>
                <w:iCs/>
              </w:rPr>
              <w:t xml:space="preserve">: </w:t>
            </w:r>
            <w:r>
              <w:rPr>
                <w:rFonts w:ascii="Times New Roman" w:eastAsia="Times New Roman" w:hAnsi="Times New Roman" w:cs="Times New Roman"/>
                <w:u w:val="single"/>
              </w:rPr>
              <w:t>Intensify the systematic exchange and development of best practices and co-operation between EU MS in the field of VR through the Common Support Initiative</w:t>
            </w:r>
            <w:r>
              <w:rPr>
                <w:rFonts w:ascii="Times New Roman" w:eastAsia="Times New Roman" w:hAnsi="Times New Roman" w:cs="Times New Roman"/>
              </w:rPr>
              <w:t>.</w:t>
            </w:r>
            <w:r>
              <w:rPr>
                <w:rFonts w:ascii="Times New Roman" w:eastAsia="Times New Roman" w:hAnsi="Times New Roman" w:cs="Times New Roman"/>
                <w:b/>
                <w:bCs/>
              </w:rPr>
              <w:t xml:space="preserv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7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Better management of the voluntary return programme by the development of a coherent and reactive system at national level as well as on European Level.</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Increased quality and harmonisation between the involved agencies through the organization of mutual support and the development of common practices in the field of reintegration service delivery, management or AVR programmes, financial controlling and the organization of counselling.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Action 21: </w:t>
            </w:r>
            <w:r>
              <w:rPr>
                <w:rFonts w:ascii="Times New Roman" w:eastAsia="Times New Roman" w:hAnsi="Times New Roman" w:cs="Times New Roman"/>
                <w:u w:val="single"/>
              </w:rPr>
              <w:t>Training of staff involved in the integrated and forced return procedure, including escorting police officers. Under the AMIF the trainings funded by the RF (action RF13-13 Training) will be continued and improved.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O/R:</w:t>
            </w:r>
          </w:p>
          <w:p>
            <w:pPr>
              <w:numPr>
                <w:ilvl w:val="0"/>
                <w:numId w:val="7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Staff is better equipped to provide/develop effective and efficient return procedures and assistance.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AE5C5A" w:rsidRPr="00AE5C5A" w:rsidP="00CF34E2">
            <w:pPr>
              <w:spacing w:before="0" w:after="0"/>
            </w:pPr>
          </w:p>
        </w:tc>
      </w:tr>
    </w:tbl>
    <w:p w:rsidR="00BF1817" w:rsidP="00C13D6C">
      <w:pPr>
        <w:spacing w:before="0" w:after="0"/>
      </w:pPr>
    </w:p>
    <w:tbl>
      <w:tblPr>
        <w:tblStyle w:val="TableNormal"/>
        <w:tblW w:w="5000" w:type="pct"/>
        <w:tblInd w:w="108" w:type="dxa"/>
        <w:tblLook w:val="04A0"/>
      </w:tblPr>
      <w:tblGrid>
        <w:gridCol w:w="3319"/>
        <w:gridCol w:w="5643"/>
      </w:tblGrid>
      <w:tr w:rsidTr="00A93145">
        <w:tblPrEx>
          <w:tblW w:w="5000" w:type="pct"/>
          <w:tblInd w:w="108" w:type="dxa"/>
          <w:tblLook w:val="04A0"/>
        </w:tblPrEx>
        <w:trPr>
          <w:gridAfter w:val="1"/>
          <w:trHeight w:val="170"/>
        </w:trPr>
        <w:tc>
          <w:tcPr>
            <w:shd w:val="clear" w:color="auto" w:fill="auto"/>
          </w:tcPr>
          <w:p w:rsidR="00D36579" w:rsidRPr="00A93145" w:rsidP="00175974">
            <w:pPr>
              <w:pStyle w:val="Heading4"/>
              <w:numPr>
                <w:ilvl w:val="0"/>
                <w:numId w:val="0"/>
              </w:numPr>
              <w:spacing w:before="0" w:after="0"/>
              <w:rPr>
                <w:color w:val="FFFFFF"/>
              </w:rPr>
            </w:pPr>
            <w:bookmarkStart w:id="97" w:name="_Toc256000062"/>
            <w:bookmarkStart w:id="98" w:name="_Toc256000120"/>
            <w:bookmarkStart w:id="99" w:name="_Toc256000178"/>
            <w:r w:rsidRPr="00A93145">
              <w:rPr>
                <w:noProof/>
                <w:color w:val="FFFFFF"/>
              </w:rPr>
              <w:t>Actions spécifiques</w:t>
            </w:r>
            <w:bookmarkEnd w:id="99"/>
            <w:bookmarkEnd w:id="98"/>
            <w:bookmarkEnd w:id="97"/>
          </w:p>
        </w:tc>
      </w:tr>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100" w:name="_Toc256000063"/>
            <w:bookmarkStart w:id="101" w:name="_Toc256000121"/>
            <w:bookmarkStart w:id="102" w:name="_Toc256000179"/>
            <w:r w:rsidRPr="00CE4D5C">
              <w:rPr>
                <w:noProof/>
              </w:rPr>
              <w:t>5</w:t>
            </w:r>
            <w:r w:rsidRPr="00CE4D5C">
              <w:rPr>
                <w:lang w:val="it-IT"/>
              </w:rPr>
              <w:t xml:space="preserve"> - </w:t>
            </w:r>
            <w:r w:rsidRPr="00CE4D5C">
              <w:rPr>
                <w:noProof/>
              </w:rPr>
              <w:t>Opérations conjointes de retour</w:t>
            </w:r>
            <w:bookmarkEnd w:id="102"/>
            <w:bookmarkEnd w:id="101"/>
            <w:bookmarkEnd w:id="100"/>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EURLO: SA 'European Return Liaison Officers' aims at increasing the cost-effectiveness of the existing network of officers by opening it to more MS and enhancing/reinforcing activities in the field or return by:</w:t>
            </w:r>
          </w:p>
          <w:p>
            <w:pPr>
              <w:numPr>
                <w:ilvl w:val="0"/>
                <w:numId w:val="80"/>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Deployment of EURLO's to offer humane and flexible operational solutions in individual cases and common problems in return encountered by their partners in Europe and in TC.</w:t>
            </w:r>
          </w:p>
          <w:p>
            <w:pPr>
              <w:numPr>
                <w:ilvl w:val="0"/>
                <w:numId w:val="8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 xml:space="preserve">Organise/participate in actions: </w:t>
            </w:r>
          </w:p>
          <w:p>
            <w:pPr>
              <w:numPr>
                <w:ilvl w:val="1"/>
                <w:numId w:val="80"/>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Joint Return Actions within the framework of the implementation of EU Readmission Agreements and Mobility Partnerships.</w:t>
            </w:r>
          </w:p>
          <w:p>
            <w:pPr>
              <w:numPr>
                <w:ilvl w:val="1"/>
                <w:numId w:val="80"/>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set up by partners of the EURINT.</w:t>
            </w:r>
          </w:p>
          <w:p>
            <w:pPr>
              <w:numPr>
                <w:ilvl w:val="1"/>
                <w:numId w:val="80"/>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set up by EU partners in the field of reintegration after return, post-arrival assistance and monitoring</w:t>
            </w:r>
          </w:p>
          <w:p>
            <w:pPr>
              <w:numPr>
                <w:ilvl w:val="1"/>
                <w:numId w:val="80"/>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in coop. with EBCG/Frontex (</w:t>
            </w:r>
            <w:r>
              <w:rPr>
                <w:rFonts w:ascii="Times New Roman" w:eastAsia="Times New Roman" w:hAnsi="Times New Roman" w:cs="Times New Roman"/>
                <w:i/>
                <w:iCs/>
              </w:rPr>
              <w:t>European Border and Coast Guard Agency) </w:t>
            </w:r>
            <w:r>
              <w:rPr>
                <w:rFonts w:ascii="Times New Roman" w:eastAsia="Times New Roman" w:hAnsi="Times New Roman" w:cs="Times New Roman"/>
              </w:rPr>
              <w:t>for the organisation of JRO's.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Obligations of participating countries:</w:t>
            </w:r>
          </w:p>
          <w:p>
            <w:pPr>
              <w:numPr>
                <w:ilvl w:val="0"/>
                <w:numId w:val="81"/>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Participate in the Steering Group.</w:t>
            </w:r>
          </w:p>
          <w:p>
            <w:pPr>
              <w:numPr>
                <w:ilvl w:val="0"/>
                <w:numId w:val="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Designate/deploy staff that will act as EURLO.</w:t>
            </w:r>
          </w:p>
          <w:p>
            <w:pPr>
              <w:numPr>
                <w:ilvl w:val="0"/>
                <w:numId w:val="81"/>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Report and ensure the administrative and financial follow-up towards the EURLO secretariat.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2017 top-ups reinforced the action to allow to extent activities and align priorities to those set forward by the EC and/or Frontex in their external Policies on Readmission and Return. It will also allow the development of a program wide evaluation in order to define future strategic objectives, including the possibility of a full takeover by Frontex.</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BE will participate 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EURINT Lead MS: NL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 will participate in the following ways:</w:t>
            </w:r>
          </w:p>
          <w:p>
            <w:pPr>
              <w:numPr>
                <w:ilvl w:val="0"/>
                <w:numId w:val="82"/>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Designate one NCP to participate in the SGC’s and operate as communication-hub towards the competent national services that need to be included in the events organized by the network;</w:t>
            </w:r>
          </w:p>
          <w:p>
            <w:pPr>
              <w:numPr>
                <w:ilvl w:val="0"/>
                <w:numId w:val="8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 xml:space="preserve">Chair or participate : </w:t>
            </w:r>
          </w:p>
          <w:p>
            <w:pPr>
              <w:numPr>
                <w:ilvl w:val="1"/>
                <w:numId w:val="82"/>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in the third country oriented Third Country Working Groups, by delegating the right experts to this working groups, holding decisive power to agree on common actions and strategies;</w:t>
            </w:r>
          </w:p>
          <w:p>
            <w:pPr>
              <w:numPr>
                <w:ilvl w:val="1"/>
                <w:numId w:val="82"/>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in the defined actions (incoming/outgoing missions/task forces/training/capacity building/…)</w:t>
            </w:r>
          </w:p>
          <w:p>
            <w:pPr>
              <w:numPr>
                <w:ilvl w:val="1"/>
                <w:numId w:val="82"/>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in the workshops for field-practitioners;</w:t>
            </w:r>
          </w:p>
          <w:p>
            <w:pPr>
              <w:numPr>
                <w:ilvl w:val="0"/>
                <w:numId w:val="8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Actively contribute to the operational information exchange via the FOSS.</w:t>
            </w:r>
          </w:p>
          <w:p>
            <w:pPr>
              <w:numPr>
                <w:ilvl w:val="0"/>
                <w:numId w:val="82"/>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Cofinance the EURINT-Network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MEDCOI 4 Lead MS: NL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Enables partner MS to quickly access reliable and up to date information about the availability and accessibility of medical treatment in countries from which applicants in need of international protection and/or human rights applicants originate. This information is used in the determination of applications for international protection and other immigration procedures and to answer questions about the return of a person to their coo, especially whether the return would be possible or rather violate international obligations.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BE</w:t>
            </w:r>
            <w:r>
              <w:rPr>
                <w:rFonts w:ascii="Times New Roman" w:eastAsia="Times New Roman" w:hAnsi="Times New Roman" w:cs="Times New Roman"/>
              </w:rPr>
              <w:t xml:space="preserve"> will:</w:t>
            </w:r>
          </w:p>
          <w:p>
            <w:pPr>
              <w:numPr>
                <w:ilvl w:val="0"/>
                <w:numId w:val="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take part in the meetings/workshops to obtain the goals of the action</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contribute to obtain, share and exchange information on the availability and accessibility of medical treatment in coo. </w:t>
            </w:r>
          </w:p>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5821"/>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103" w:name="_Toc256000064"/>
            <w:bookmarkStart w:id="104" w:name="_Toc256000122"/>
            <w:bookmarkStart w:id="105" w:name="_Toc256000180"/>
            <w:r w:rsidRPr="00CE4D5C">
              <w:rPr>
                <w:noProof/>
              </w:rPr>
              <w:t>6</w:t>
            </w:r>
            <w:r w:rsidRPr="00CE4D5C">
              <w:rPr>
                <w:lang w:val="it-IT"/>
              </w:rPr>
              <w:t xml:space="preserve"> - </w:t>
            </w:r>
            <w:r w:rsidRPr="00CE4D5C">
              <w:rPr>
                <w:noProof/>
              </w:rPr>
              <w:t>Projets conjoints de réintégration</w:t>
            </w:r>
            <w:bookmarkEnd w:id="105"/>
            <w:bookmarkEnd w:id="104"/>
            <w:bookmarkEnd w:id="103"/>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Belgium will participate in the following Specific Action: European Re-integration Network (ERIN) (successor of the ERI (European Reintegration Instrument) project which ended on March 1st,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Lead MS: The Netherlands</w:t>
            </w:r>
          </w:p>
          <w:p>
            <w:pPr>
              <w:numPr>
                <w:ilvl w:val="0"/>
                <w:numId w:val="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Belgium will participate in the activities of the ERIN-project in the following ways:</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Designate one National Contact Point that participates in the SGC’s and operates as communication-hub towards the competent national services that need to be included in the events organized by the network;</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Participate in the defined actions;</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Chair or participate in the ERIN workshops;</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Chair or participate in the ERIN working groups;</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Co-finance the ERIN-project.</w:t>
            </w:r>
          </w:p>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6838"/>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DE4546" w:rsidP="00C13D6C">
            <w:pPr>
              <w:keepNext/>
              <w:keepLines/>
              <w:spacing w:before="0" w:after="0"/>
              <w:jc w:val="left"/>
              <w:rPr>
                <w:b/>
                <w:lang w:val="it-IT"/>
              </w:rPr>
            </w:pPr>
            <w:r>
              <w:rPr>
                <w:b/>
                <w:noProof/>
                <w:lang w:val="it-IT"/>
              </w:rPr>
              <w:t>Action spécifique</w:t>
            </w:r>
          </w:p>
        </w:tc>
        <w:tc>
          <w:tcPr>
            <w:shd w:val="clear" w:color="auto" w:fill="auto"/>
          </w:tcPr>
          <w:p w:rsidR="0084560F" w:rsidRPr="00CE4D5C" w:rsidP="00C13D6C">
            <w:pPr>
              <w:pStyle w:val="Heading4"/>
              <w:numPr>
                <w:ilvl w:val="0"/>
                <w:numId w:val="0"/>
              </w:numPr>
              <w:spacing w:before="0" w:after="0"/>
              <w:jc w:val="left"/>
              <w:rPr>
                <w:lang w:val="it-IT"/>
              </w:rPr>
            </w:pPr>
            <w:bookmarkStart w:id="106" w:name="_Toc256000065"/>
            <w:bookmarkStart w:id="107" w:name="_Toc256000123"/>
            <w:bookmarkStart w:id="108" w:name="_Toc256000181"/>
            <w:r w:rsidRPr="00CE4D5C">
              <w:rPr>
                <w:noProof/>
              </w:rPr>
              <w:t>7</w:t>
            </w:r>
            <w:r w:rsidRPr="00CE4D5C">
              <w:rPr>
                <w:lang w:val="it-IT"/>
              </w:rPr>
              <w:t xml:space="preserve"> - </w:t>
            </w:r>
            <w:r w:rsidRPr="00CE4D5C">
              <w:rPr>
                <w:noProof/>
              </w:rPr>
              <w:t>Unité familiale et réintégration des mineurs non accompagnés</w:t>
            </w:r>
            <w:bookmarkEnd w:id="108"/>
            <w:bookmarkEnd w:id="107"/>
            <w:bookmarkEnd w:id="106"/>
          </w:p>
        </w:tc>
      </w:tr>
    </w:tbl>
    <w:p w:rsidR="0084560F" w:rsidP="00C13D6C">
      <w:pPr>
        <w:keepNext/>
        <w:keepLines/>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Belgium will participate in the following Specific Action: “Organization of joint reintegration projects targeted towards unaccompanied minors”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Lead MS: France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This action aims at enhancing reintegration of unaccompanied minors, while respecting the principle of the “best interests of the child”. The action consists of information campaigns in third countries and in Member States, family reunification and reintegration of minors through educational projects in the long term within the targeted countries of return. A pilot center is also considered, with the aim of welcoming minors in a target country of return.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As a partner Belgium will :</w:t>
            </w:r>
          </w:p>
          <w:p>
            <w:pPr>
              <w:numPr>
                <w:ilvl w:val="0"/>
                <w:numId w:val="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participate in the cooperation in terms of reintegration of unaccompanied minors,</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take part in the steering committee,</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take part in the evaluation process of the action.</w:t>
            </w:r>
          </w:p>
          <w:p w:rsidR="00860223" w:rsidP="00CF34E2">
            <w:pPr>
              <w:keepNext/>
              <w:spacing w:before="0" w:after="0"/>
            </w:pPr>
          </w:p>
        </w:tc>
      </w:tr>
    </w:tbl>
    <w:p w:rsidR="00860223"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3647"/>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E76F3F" w:rsidP="00C13D6C">
            <w:pPr>
              <w:spacing w:before="0" w:after="0"/>
              <w:jc w:val="left"/>
              <w:rPr>
                <w:b/>
              </w:rPr>
            </w:pPr>
            <w:r>
              <w:rPr>
                <w:b/>
                <w:noProof/>
              </w:rPr>
              <w:t>Objectif spécifique</w:t>
            </w:r>
          </w:p>
        </w:tc>
        <w:tc>
          <w:tcPr>
            <w:shd w:val="clear" w:color="auto" w:fill="auto"/>
          </w:tcPr>
          <w:p w:rsidR="0084560F" w:rsidRPr="005D60C3" w:rsidP="00C13D6C">
            <w:pPr>
              <w:pStyle w:val="Heading2"/>
              <w:numPr>
                <w:ilvl w:val="0"/>
                <w:numId w:val="0"/>
              </w:numPr>
              <w:spacing w:before="0" w:after="0"/>
              <w:jc w:val="left"/>
            </w:pPr>
            <w:bookmarkStart w:id="109" w:name="_Toc256000066"/>
            <w:bookmarkStart w:id="110" w:name="_Toc256000124"/>
            <w:bookmarkStart w:id="111" w:name="_Toc256000182"/>
            <w:r w:rsidRPr="0083666D">
              <w:rPr>
                <w:rStyle w:val="Heading2Char"/>
                <w:noProof/>
              </w:rPr>
              <w:t>4</w:t>
            </w:r>
            <w:r>
              <w:t xml:space="preserve"> - </w:t>
            </w:r>
            <w:r w:rsidRPr="00CE4D5C">
              <w:rPr>
                <w:b w:val="0"/>
                <w:noProof/>
              </w:rPr>
              <w:t>Solidarité</w:t>
            </w:r>
            <w:bookmarkEnd w:id="111"/>
            <w:bookmarkEnd w:id="110"/>
            <w:bookmarkEnd w:id="109"/>
          </w:p>
        </w:tc>
      </w:tr>
    </w:tbl>
    <w:p w:rsidR="00DE3223" w:rsidP="00C13D6C">
      <w:pPr>
        <w:spacing w:before="0" w:after="0"/>
        <w:jc w:val="left"/>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CF34E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C13D6C" w:rsidP="00CF34E2">
            <w:pPr>
              <w:spacing w:before="0" w:after="0"/>
            </w:pPr>
          </w:p>
        </w:tc>
      </w:tr>
    </w:tbl>
    <w:p w:rsidR="00A93145" w:rsidRPr="00A93145" w:rsidP="00A93145">
      <w:pPr>
        <w:spacing w:before="0" w:after="0"/>
        <w:rPr>
          <w:vanish/>
        </w:rPr>
      </w:pPr>
    </w:p>
    <w:tbl>
      <w:tblPr>
        <w:tblStyle w:val="TableNormal"/>
        <w:tblW w:w="5000" w:type="pct"/>
        <w:tblInd w:w="108" w:type="dxa"/>
        <w:tblLook w:val="04A0"/>
      </w:tblPr>
      <w:tblGrid>
        <w:gridCol w:w="8962"/>
      </w:tblGrid>
      <w:tr w:rsidTr="00A93145">
        <w:tblPrEx>
          <w:tblW w:w="5000" w:type="pct"/>
          <w:tblInd w:w="108" w:type="dxa"/>
          <w:tblLook w:val="04A0"/>
        </w:tblPrEx>
        <w:trPr>
          <w:trHeight w:val="170"/>
        </w:trPr>
        <w:tc>
          <w:tcPr>
            <w:shd w:val="clear" w:color="auto" w:fill="auto"/>
          </w:tcPr>
          <w:p w:rsidR="004D189D" w:rsidRPr="00A93145" w:rsidP="00175974">
            <w:pPr>
              <w:pStyle w:val="Heading4"/>
              <w:numPr>
                <w:ilvl w:val="0"/>
                <w:numId w:val="0"/>
              </w:numPr>
              <w:spacing w:before="0" w:after="0"/>
              <w:rPr>
                <w:b/>
                <w:color w:val="FFFFFF"/>
              </w:rPr>
            </w:pPr>
            <w:bookmarkStart w:id="112" w:name="_Toc256000067"/>
            <w:bookmarkStart w:id="113" w:name="_Toc256000125"/>
            <w:bookmarkStart w:id="114" w:name="_Toc256000183"/>
            <w:r w:rsidRPr="00A93145">
              <w:rPr>
                <w:b/>
                <w:noProof/>
                <w:color w:val="FFFFFF"/>
              </w:rPr>
              <w:t>Objectifs nationaux</w:t>
            </w:r>
            <w:bookmarkEnd w:id="114"/>
            <w:bookmarkEnd w:id="113"/>
            <w:bookmarkEnd w:id="112"/>
          </w:p>
        </w:tc>
      </w:tr>
      <w:tr w:rsidTr="00A93145">
        <w:tblPrEx>
          <w:tblW w:w="5000" w:type="pct"/>
          <w:tblInd w:w="108" w:type="dxa"/>
          <w:tblLook w:val="04A0"/>
        </w:tblPrEx>
        <w:trPr>
          <w:trHeight w:val="170"/>
        </w:trPr>
        <w:tc>
          <w:tcPr>
            <w:shd w:val="clear" w:color="auto" w:fill="auto"/>
          </w:tcPr>
          <w:p w:rsidR="00D36579" w:rsidRPr="00A93145" w:rsidP="00175974">
            <w:pPr>
              <w:pStyle w:val="Heading4"/>
              <w:numPr>
                <w:ilvl w:val="0"/>
                <w:numId w:val="0"/>
              </w:numPr>
              <w:spacing w:before="0" w:after="0"/>
              <w:rPr>
                <w:color w:val="FFFFFF"/>
              </w:rPr>
            </w:pPr>
            <w:bookmarkStart w:id="115" w:name="_Toc256000068"/>
            <w:bookmarkStart w:id="116" w:name="_Toc256000126"/>
            <w:bookmarkStart w:id="117" w:name="_Toc256000184"/>
            <w:r w:rsidRPr="00A93145">
              <w:rPr>
                <w:noProof/>
                <w:color w:val="FFFFFF"/>
              </w:rPr>
              <w:t>Actions spécifiques</w:t>
            </w:r>
            <w:bookmarkEnd w:id="117"/>
            <w:bookmarkEnd w:id="116"/>
            <w:bookmarkEnd w:id="115"/>
          </w:p>
        </w:tc>
      </w:tr>
    </w:tbl>
    <w:p>
      <w:pPr>
        <w:sectPr w:rsidSect="00376681">
          <w:pgSz w:w="11906" w:h="16838" w:code="9"/>
          <w:pgMar w:top="1418" w:right="1418" w:bottom="1418" w:left="1418" w:header="567" w:footer="567" w:gutter="0"/>
          <w:cols w:space="720"/>
          <w:docGrid w:linePitch="326"/>
        </w:sectPr>
      </w:pPr>
    </w:p>
    <w:p w:rsidR="0084560F" w:rsidP="00C13D6C">
      <w:pPr>
        <w:pStyle w:val="Heading1"/>
        <w:numPr>
          <w:ilvl w:val="0"/>
          <w:numId w:val="0"/>
        </w:numPr>
        <w:spacing w:before="0" w:after="0"/>
        <w:jc w:val="left"/>
      </w:pPr>
      <w:bookmarkStart w:id="118" w:name="_Toc256000011"/>
      <w:bookmarkStart w:id="119" w:name="_Toc256000069"/>
      <w:bookmarkStart w:id="120" w:name="_Toc256000127"/>
      <w:bookmarkStart w:id="121" w:name="_Toc256000185"/>
      <w:r w:rsidRPr="00F9367D">
        <w:rPr>
          <w:noProof/>
        </w:rPr>
        <w:t>CALENDRIER INDICATIF</w:t>
      </w:r>
      <w:bookmarkEnd w:id="121"/>
      <w:bookmarkEnd w:id="120"/>
      <w:bookmarkEnd w:id="119"/>
      <w:bookmarkEnd w:id="118"/>
    </w:p>
    <w:p w:rsidR="008830AC" w:rsidRPr="008830AC"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489"/>
        <w:gridCol w:w="929"/>
        <w:gridCol w:w="2134"/>
        <w:gridCol w:w="1098"/>
        <w:gridCol w:w="930"/>
        <w:gridCol w:w="757"/>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4560F" w:rsidRPr="00CB3B6C" w:rsidP="00C13D6C">
            <w:pPr>
              <w:spacing w:before="0" w:after="0"/>
              <w:jc w:val="left"/>
              <w:rPr>
                <w:b/>
                <w:sz w:val="16"/>
                <w:szCs w:val="16"/>
              </w:rPr>
            </w:pPr>
            <w:r w:rsidRPr="00CB3B6C">
              <w:rPr>
                <w:b/>
                <w:noProof/>
                <w:sz w:val="16"/>
                <w:szCs w:val="16"/>
              </w:rPr>
              <w:t>Objectif spécifique</w:t>
            </w:r>
          </w:p>
        </w:tc>
        <w:tc>
          <w:tcPr>
            <w:shd w:val="clear" w:color="auto" w:fill="auto"/>
          </w:tcPr>
          <w:p w:rsidR="0084560F" w:rsidRPr="00CB3B6C" w:rsidP="00C13D6C">
            <w:pPr>
              <w:spacing w:before="0" w:after="0"/>
              <w:jc w:val="left"/>
              <w:rPr>
                <w:b/>
                <w:sz w:val="16"/>
                <w:szCs w:val="16"/>
              </w:rPr>
            </w:pPr>
            <w:r w:rsidRPr="00CB3B6C">
              <w:rPr>
                <w:b/>
                <w:noProof/>
                <w:sz w:val="16"/>
                <w:szCs w:val="16"/>
              </w:rPr>
              <w:t>ON/AS</w:t>
            </w:r>
          </w:p>
        </w:tc>
        <w:tc>
          <w:tcPr>
            <w:shd w:val="clear" w:color="auto" w:fill="auto"/>
          </w:tcPr>
          <w:p w:rsidR="0084560F" w:rsidRPr="00CB3B6C" w:rsidP="00C13D6C">
            <w:pPr>
              <w:spacing w:before="0" w:after="0"/>
              <w:jc w:val="center"/>
              <w:rPr>
                <w:b/>
                <w:sz w:val="16"/>
                <w:szCs w:val="16"/>
              </w:rPr>
            </w:pPr>
            <w:r w:rsidRPr="00CB3B6C">
              <w:rPr>
                <w:b/>
                <w:noProof/>
                <w:sz w:val="16"/>
                <w:szCs w:val="16"/>
              </w:rPr>
              <w:t>Action principale</w:t>
            </w:r>
          </w:p>
        </w:tc>
        <w:tc>
          <w:tcPr>
            <w:shd w:val="clear" w:color="auto" w:fill="auto"/>
          </w:tcPr>
          <w:p w:rsidR="0084560F" w:rsidRPr="00CB3B6C" w:rsidP="00C13D6C">
            <w:pPr>
              <w:spacing w:before="0" w:after="0"/>
              <w:jc w:val="left"/>
              <w:rPr>
                <w:b/>
                <w:sz w:val="16"/>
                <w:szCs w:val="16"/>
              </w:rPr>
            </w:pPr>
            <w:r w:rsidRPr="00CB3B6C">
              <w:rPr>
                <w:b/>
                <w:noProof/>
                <w:sz w:val="16"/>
                <w:szCs w:val="16"/>
              </w:rPr>
              <w:t>Nom de l’action</w:t>
            </w:r>
          </w:p>
        </w:tc>
        <w:tc>
          <w:tcPr>
            <w:shd w:val="clear" w:color="auto" w:fill="auto"/>
          </w:tcPr>
          <w:p w:rsidR="0084560F" w:rsidRPr="00CB3B6C" w:rsidP="00C13D6C">
            <w:pPr>
              <w:spacing w:before="0" w:after="0"/>
              <w:jc w:val="center"/>
              <w:rPr>
                <w:b/>
                <w:sz w:val="16"/>
                <w:szCs w:val="16"/>
              </w:rPr>
            </w:pPr>
            <w:r w:rsidRPr="00CB3B6C">
              <w:rPr>
                <w:b/>
                <w:noProof/>
                <w:sz w:val="16"/>
                <w:szCs w:val="16"/>
              </w:rPr>
              <w:t>Début de la phase de planification</w:t>
            </w:r>
          </w:p>
        </w:tc>
        <w:tc>
          <w:tcPr>
            <w:shd w:val="clear" w:color="auto" w:fill="auto"/>
          </w:tcPr>
          <w:p w:rsidR="0084560F" w:rsidRPr="00CB3B6C" w:rsidP="00C13D6C">
            <w:pPr>
              <w:spacing w:before="0" w:after="0"/>
              <w:jc w:val="center"/>
              <w:rPr>
                <w:b/>
                <w:sz w:val="16"/>
                <w:szCs w:val="16"/>
              </w:rPr>
            </w:pPr>
            <w:r w:rsidRPr="00CB3B6C">
              <w:rPr>
                <w:b/>
                <w:noProof/>
                <w:sz w:val="16"/>
                <w:szCs w:val="16"/>
              </w:rPr>
              <w:t>Début de la phase de mise en œuvre</w:t>
            </w:r>
          </w:p>
        </w:tc>
        <w:tc>
          <w:tcPr>
            <w:shd w:val="clear" w:color="auto" w:fill="auto"/>
          </w:tcPr>
          <w:p w:rsidR="0084560F" w:rsidRPr="00CB3B6C" w:rsidP="00C13D6C">
            <w:pPr>
              <w:spacing w:before="0" w:after="0"/>
              <w:jc w:val="center"/>
              <w:rPr>
                <w:b/>
                <w:sz w:val="16"/>
                <w:szCs w:val="16"/>
              </w:rPr>
            </w:pPr>
            <w:r w:rsidRPr="00CB3B6C">
              <w:rPr>
                <w:b/>
                <w:noProof/>
                <w:sz w:val="16"/>
                <w:szCs w:val="16"/>
              </w:rPr>
              <w:t>Début de la phase de clôture</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1</w:t>
            </w:r>
            <w:r>
              <w:rPr>
                <w:sz w:val="16"/>
                <w:szCs w:val="16"/>
              </w:rPr>
              <w:t xml:space="preserve"> - </w:t>
            </w:r>
            <w:r>
              <w:rPr>
                <w:noProof/>
                <w:sz w:val="16"/>
                <w:szCs w:val="16"/>
              </w:rPr>
              <w:t>Accueil/Asile</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 develop a new it system to optimize the reception capacity</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1</w:t>
            </w:r>
            <w:r>
              <w:rPr>
                <w:sz w:val="16"/>
                <w:szCs w:val="16"/>
              </w:rPr>
              <w:t xml:space="preserve"> - </w:t>
            </w:r>
            <w:r>
              <w:rPr>
                <w:noProof/>
                <w:sz w:val="16"/>
                <w:szCs w:val="16"/>
              </w:rPr>
              <w:t>Accueil/Asile</w:t>
            </w:r>
          </w:p>
        </w:tc>
        <w:tc>
          <w:tcPr>
            <w:shd w:val="clear" w:color="auto" w:fill="auto"/>
          </w:tcPr>
          <w:p w:rsidR="0084560F" w:rsidRPr="00557448" w:rsidP="00C13D6C">
            <w:pPr>
              <w:spacing w:before="0" w:after="0"/>
              <w:jc w:val="center"/>
              <w:rPr>
                <w:sz w:val="16"/>
                <w:szCs w:val="16"/>
              </w:rPr>
            </w:pPr>
            <w:r w:rsidRPr="00557448">
              <w:rPr>
                <w:noProof/>
                <w:sz w:val="16"/>
                <w:szCs w:val="16"/>
              </w:rPr>
              <w:t>2</w:t>
            </w:r>
          </w:p>
        </w:tc>
        <w:tc>
          <w:tcPr>
            <w:shd w:val="clear" w:color="auto" w:fill="auto"/>
          </w:tcPr>
          <w:p w:rsidR="0084560F" w:rsidRPr="00557448" w:rsidP="00C13D6C">
            <w:pPr>
              <w:spacing w:before="0" w:after="0"/>
              <w:jc w:val="left"/>
              <w:rPr>
                <w:sz w:val="16"/>
                <w:szCs w:val="16"/>
              </w:rPr>
            </w:pPr>
            <w:r w:rsidRPr="00557448">
              <w:rPr>
                <w:noProof/>
                <w:sz w:val="16"/>
                <w:szCs w:val="16"/>
              </w:rPr>
              <w:t>2 enhance reception quality</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1</w:t>
            </w:r>
            <w:r>
              <w:rPr>
                <w:sz w:val="16"/>
                <w:szCs w:val="16"/>
              </w:rPr>
              <w:t xml:space="preserve"> - </w:t>
            </w:r>
            <w:r>
              <w:rPr>
                <w:noProof/>
                <w:sz w:val="16"/>
                <w:szCs w:val="16"/>
              </w:rPr>
              <w:t>Accueil/Asile</w:t>
            </w:r>
          </w:p>
        </w:tc>
        <w:tc>
          <w:tcPr>
            <w:shd w:val="clear" w:color="auto" w:fill="auto"/>
          </w:tcPr>
          <w:p w:rsidR="0084560F" w:rsidRPr="00557448" w:rsidP="00C13D6C">
            <w:pPr>
              <w:spacing w:before="0" w:after="0"/>
              <w:jc w:val="center"/>
              <w:rPr>
                <w:sz w:val="16"/>
                <w:szCs w:val="16"/>
              </w:rPr>
            </w:pPr>
            <w:r w:rsidRPr="00557448">
              <w:rPr>
                <w:noProof/>
                <w:sz w:val="16"/>
                <w:szCs w:val="16"/>
              </w:rPr>
              <w:t>3</w:t>
            </w:r>
          </w:p>
        </w:tc>
        <w:tc>
          <w:tcPr>
            <w:shd w:val="clear" w:color="auto" w:fill="auto"/>
          </w:tcPr>
          <w:p w:rsidR="0084560F" w:rsidRPr="00557448" w:rsidP="00C13D6C">
            <w:pPr>
              <w:spacing w:before="0" w:after="0"/>
              <w:jc w:val="left"/>
              <w:rPr>
                <w:sz w:val="16"/>
                <w:szCs w:val="16"/>
              </w:rPr>
            </w:pPr>
            <w:r w:rsidRPr="00557448">
              <w:rPr>
                <w:noProof/>
                <w:sz w:val="16"/>
                <w:szCs w:val="16"/>
              </w:rPr>
              <w:t>3 support recognized refugees during the transition out of the reception network</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Évaluation</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7 assure the quality and efficiency of the asylum procedure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Évaluation</w:t>
            </w:r>
          </w:p>
        </w:tc>
        <w:tc>
          <w:tcPr>
            <w:shd w:val="clear" w:color="auto" w:fill="auto"/>
          </w:tcPr>
          <w:p w:rsidR="0084560F" w:rsidRPr="00557448" w:rsidP="00C13D6C">
            <w:pPr>
              <w:spacing w:before="0" w:after="0"/>
              <w:jc w:val="center"/>
              <w:rPr>
                <w:sz w:val="16"/>
                <w:szCs w:val="16"/>
              </w:rPr>
            </w:pPr>
            <w:r w:rsidRPr="00557448">
              <w:rPr>
                <w:noProof/>
                <w:sz w:val="16"/>
                <w:szCs w:val="16"/>
              </w:rPr>
              <w:t>2</w:t>
            </w:r>
          </w:p>
        </w:tc>
        <w:tc>
          <w:tcPr>
            <w:shd w:val="clear" w:color="auto" w:fill="auto"/>
          </w:tcPr>
          <w:p w:rsidR="0084560F" w:rsidRPr="00557448" w:rsidP="00C13D6C">
            <w:pPr>
              <w:spacing w:before="0" w:after="0"/>
              <w:jc w:val="left"/>
              <w:rPr>
                <w:sz w:val="16"/>
                <w:szCs w:val="16"/>
              </w:rPr>
            </w:pPr>
            <w:r w:rsidRPr="00557448">
              <w:rPr>
                <w:noProof/>
                <w:sz w:val="16"/>
                <w:szCs w:val="16"/>
              </w:rPr>
              <w:t>8 streamline, harmonize and diversify information products on the asylum procedure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1</w:t>
            </w:r>
            <w:r>
              <w:rPr>
                <w:sz w:val="16"/>
                <w:szCs w:val="16"/>
              </w:rPr>
              <w:t xml:space="preserve"> - </w:t>
            </w:r>
            <w:r>
              <w:rPr>
                <w:noProof/>
                <w:sz w:val="16"/>
                <w:szCs w:val="16"/>
              </w:rPr>
              <w:t>Asile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3</w:t>
            </w:r>
            <w:r>
              <w:rPr>
                <w:sz w:val="16"/>
                <w:szCs w:val="16"/>
              </w:rPr>
              <w:t xml:space="preserve"> - </w:t>
            </w:r>
            <w:r>
              <w:rPr>
                <w:noProof/>
                <w:sz w:val="16"/>
                <w:szCs w:val="16"/>
              </w:rPr>
              <w:t>Réinstallation</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10 establish a solid resettlement programme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2</w:t>
            </w:r>
            <w:r>
              <w:rPr>
                <w:sz w:val="16"/>
                <w:szCs w:val="16"/>
              </w:rPr>
              <w:t xml:space="preserve"> - </w:t>
            </w:r>
            <w:r>
              <w:rPr>
                <w:noProof/>
                <w:sz w:val="16"/>
                <w:szCs w:val="16"/>
              </w:rPr>
              <w:t>Intégration/migration légale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Intégration</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11 promote integration by offering individualized trajectories</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2</w:t>
            </w:r>
            <w:r>
              <w:rPr>
                <w:sz w:val="16"/>
                <w:szCs w:val="16"/>
              </w:rPr>
              <w:t xml:space="preserve"> - </w:t>
            </w:r>
            <w:r>
              <w:rPr>
                <w:noProof/>
                <w:sz w:val="16"/>
                <w:szCs w:val="16"/>
              </w:rPr>
              <w:t>Intégration/migration légale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Intégration</w:t>
            </w:r>
          </w:p>
        </w:tc>
        <w:tc>
          <w:tcPr>
            <w:shd w:val="clear" w:color="auto" w:fill="auto"/>
          </w:tcPr>
          <w:p w:rsidR="0084560F" w:rsidRPr="00557448" w:rsidP="00C13D6C">
            <w:pPr>
              <w:spacing w:before="0" w:after="0"/>
              <w:jc w:val="center"/>
              <w:rPr>
                <w:sz w:val="16"/>
                <w:szCs w:val="16"/>
              </w:rPr>
            </w:pPr>
            <w:r w:rsidRPr="00557448">
              <w:rPr>
                <w:noProof/>
                <w:sz w:val="16"/>
                <w:szCs w:val="16"/>
              </w:rPr>
              <w:t>2</w:t>
            </w:r>
          </w:p>
        </w:tc>
        <w:tc>
          <w:tcPr>
            <w:shd w:val="clear" w:color="auto" w:fill="auto"/>
          </w:tcPr>
          <w:p w:rsidR="0084560F" w:rsidRPr="00557448" w:rsidP="00C13D6C">
            <w:pPr>
              <w:spacing w:before="0" w:after="0"/>
              <w:jc w:val="left"/>
              <w:rPr>
                <w:sz w:val="16"/>
                <w:szCs w:val="16"/>
              </w:rPr>
            </w:pPr>
            <w:r w:rsidRPr="00557448">
              <w:rPr>
                <w:noProof/>
                <w:sz w:val="16"/>
                <w:szCs w:val="16"/>
              </w:rPr>
              <w:t>12 support a welcome course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2</w:t>
            </w:r>
            <w:r>
              <w:rPr>
                <w:sz w:val="16"/>
                <w:szCs w:val="16"/>
              </w:rPr>
              <w:t xml:space="preserve"> - </w:t>
            </w:r>
            <w:r>
              <w:rPr>
                <w:noProof/>
                <w:sz w:val="16"/>
                <w:szCs w:val="16"/>
              </w:rPr>
              <w:t>Intégration/migration légale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Intégration</w:t>
            </w:r>
          </w:p>
        </w:tc>
        <w:tc>
          <w:tcPr>
            <w:shd w:val="clear" w:color="auto" w:fill="auto"/>
          </w:tcPr>
          <w:p w:rsidR="0084560F" w:rsidRPr="00557448" w:rsidP="00C13D6C">
            <w:pPr>
              <w:spacing w:before="0" w:after="0"/>
              <w:jc w:val="center"/>
              <w:rPr>
                <w:sz w:val="16"/>
                <w:szCs w:val="16"/>
              </w:rPr>
            </w:pPr>
            <w:r w:rsidRPr="00557448">
              <w:rPr>
                <w:noProof/>
                <w:sz w:val="16"/>
                <w:szCs w:val="16"/>
              </w:rPr>
              <w:t>3</w:t>
            </w:r>
          </w:p>
        </w:tc>
        <w:tc>
          <w:tcPr>
            <w:shd w:val="clear" w:color="auto" w:fill="auto"/>
          </w:tcPr>
          <w:p w:rsidR="0084560F" w:rsidRPr="00557448" w:rsidP="00C13D6C">
            <w:pPr>
              <w:spacing w:before="0" w:after="0"/>
              <w:jc w:val="left"/>
              <w:rPr>
                <w:sz w:val="16"/>
                <w:szCs w:val="16"/>
              </w:rPr>
            </w:pPr>
            <w:r w:rsidRPr="00557448">
              <w:rPr>
                <w:noProof/>
                <w:sz w:val="16"/>
                <w:szCs w:val="16"/>
              </w:rPr>
              <w:t>13 create an inclusive integration policy</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2</w:t>
            </w:r>
            <w:r>
              <w:rPr>
                <w:sz w:val="16"/>
                <w:szCs w:val="16"/>
              </w:rPr>
              <w:t xml:space="preserve"> - </w:t>
            </w:r>
            <w:r>
              <w:rPr>
                <w:noProof/>
                <w:sz w:val="16"/>
                <w:szCs w:val="16"/>
              </w:rPr>
              <w:t>Intégration/migration légale</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3</w:t>
            </w:r>
            <w:r>
              <w:rPr>
                <w:sz w:val="16"/>
                <w:szCs w:val="16"/>
              </w:rPr>
              <w:t xml:space="preserve"> - </w:t>
            </w:r>
            <w:r>
              <w:rPr>
                <w:noProof/>
                <w:sz w:val="16"/>
                <w:szCs w:val="16"/>
              </w:rPr>
              <w:t>Capacité</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15 update and development of immigration office's IT tools</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1</w:t>
            </w:r>
            <w:r>
              <w:rPr>
                <w:sz w:val="16"/>
                <w:szCs w:val="16"/>
              </w:rPr>
              <w:t xml:space="preserve"> - </w:t>
            </w:r>
            <w:r>
              <w:rPr>
                <w:noProof/>
                <w:sz w:val="16"/>
                <w:szCs w:val="16"/>
              </w:rPr>
              <w:t>Mesures d’accompagnement</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17  maximize the access to the VR programme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Mesures de retour</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18 provide voluntary return and reintegration assistance</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2</w:t>
            </w:r>
            <w:r>
              <w:rPr>
                <w:sz w:val="16"/>
                <w:szCs w:val="16"/>
              </w:rPr>
              <w:t xml:space="preserve"> - </w:t>
            </w:r>
            <w:r>
              <w:rPr>
                <w:noProof/>
                <w:sz w:val="16"/>
                <w:szCs w:val="16"/>
              </w:rPr>
              <w:t>Mesures de retour</w:t>
            </w:r>
          </w:p>
        </w:tc>
        <w:tc>
          <w:tcPr>
            <w:shd w:val="clear" w:color="auto" w:fill="auto"/>
          </w:tcPr>
          <w:p w:rsidR="0084560F" w:rsidRPr="00557448" w:rsidP="00C13D6C">
            <w:pPr>
              <w:spacing w:before="0" w:after="0"/>
              <w:jc w:val="center"/>
              <w:rPr>
                <w:sz w:val="16"/>
                <w:szCs w:val="16"/>
              </w:rPr>
            </w:pPr>
            <w:r w:rsidRPr="00557448">
              <w:rPr>
                <w:noProof/>
                <w:sz w:val="16"/>
                <w:szCs w:val="16"/>
              </w:rPr>
              <w:t>2</w:t>
            </w:r>
          </w:p>
        </w:tc>
        <w:tc>
          <w:tcPr>
            <w:shd w:val="clear" w:color="auto" w:fill="auto"/>
          </w:tcPr>
          <w:p w:rsidR="0084560F" w:rsidRPr="00557448" w:rsidP="00C13D6C">
            <w:pPr>
              <w:spacing w:before="0" w:after="0"/>
              <w:jc w:val="left"/>
              <w:rPr>
                <w:sz w:val="16"/>
                <w:szCs w:val="16"/>
              </w:rPr>
            </w:pPr>
            <w:r w:rsidRPr="00557448">
              <w:rPr>
                <w:noProof/>
                <w:sz w:val="16"/>
                <w:szCs w:val="16"/>
              </w:rPr>
              <w:t>19 implement integrated and forced return activities</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3</w:t>
            </w:r>
            <w:r>
              <w:rPr>
                <w:sz w:val="16"/>
                <w:szCs w:val="16"/>
              </w:rPr>
              <w:t xml:space="preserve"> - </w:t>
            </w:r>
            <w:r>
              <w:rPr>
                <w:noProof/>
                <w:sz w:val="16"/>
                <w:szCs w:val="16"/>
              </w:rPr>
              <w:t>Coopération</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20 intensify the systematic exchange between MS on VR</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ON</w:t>
            </w:r>
            <w:r>
              <w:rPr>
                <w:noProof/>
                <w:sz w:val="16"/>
                <w:szCs w:val="16"/>
              </w:rPr>
              <w:t>3</w:t>
            </w:r>
            <w:r>
              <w:rPr>
                <w:sz w:val="16"/>
                <w:szCs w:val="16"/>
              </w:rPr>
              <w:t xml:space="preserve"> - </w:t>
            </w:r>
            <w:r>
              <w:rPr>
                <w:noProof/>
                <w:sz w:val="16"/>
                <w:szCs w:val="16"/>
              </w:rPr>
              <w:t>Coopération</w:t>
            </w:r>
          </w:p>
        </w:tc>
        <w:tc>
          <w:tcPr>
            <w:shd w:val="clear" w:color="auto" w:fill="auto"/>
          </w:tcPr>
          <w:p w:rsidR="0084560F" w:rsidRPr="00557448" w:rsidP="00C13D6C">
            <w:pPr>
              <w:spacing w:before="0" w:after="0"/>
              <w:jc w:val="center"/>
              <w:rPr>
                <w:sz w:val="16"/>
                <w:szCs w:val="16"/>
              </w:rPr>
            </w:pPr>
            <w:r w:rsidRPr="00557448">
              <w:rPr>
                <w:noProof/>
                <w:sz w:val="16"/>
                <w:szCs w:val="16"/>
              </w:rPr>
              <w:t>3</w:t>
            </w:r>
          </w:p>
        </w:tc>
        <w:tc>
          <w:tcPr>
            <w:shd w:val="clear" w:color="auto" w:fill="auto"/>
          </w:tcPr>
          <w:p w:rsidR="0084560F" w:rsidRPr="00557448" w:rsidP="00C13D6C">
            <w:pPr>
              <w:spacing w:before="0" w:after="0"/>
              <w:jc w:val="left"/>
              <w:rPr>
                <w:sz w:val="16"/>
                <w:szCs w:val="16"/>
              </w:rPr>
            </w:pPr>
            <w:r w:rsidRPr="00557448">
              <w:rPr>
                <w:noProof/>
                <w:sz w:val="16"/>
                <w:szCs w:val="16"/>
              </w:rPr>
              <w:t>21 training of staff on return procedures</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r w:rsidTr="00376681">
        <w:tblPrEx>
          <w:tblW w:w="5000" w:type="pct"/>
          <w:tblInd w:w="108" w:type="dxa"/>
          <w:tblLook w:val="04A0"/>
        </w:tblPrEx>
        <w:tc>
          <w:tcPr>
            <w:shd w:val="clear" w:color="auto" w:fill="auto"/>
          </w:tcPr>
          <w:p w:rsidR="0084560F" w:rsidRPr="00557448" w:rsidP="00C13D6C">
            <w:pPr>
              <w:spacing w:before="0" w:after="0"/>
              <w:jc w:val="left"/>
              <w:rPr>
                <w:sz w:val="16"/>
                <w:szCs w:val="16"/>
              </w:rPr>
            </w:pPr>
            <w:r>
              <w:rPr>
                <w:noProof/>
                <w:sz w:val="16"/>
                <w:szCs w:val="16"/>
              </w:rPr>
              <w:t>OS</w:t>
            </w:r>
            <w:r>
              <w:rPr>
                <w:noProof/>
                <w:sz w:val="16"/>
                <w:szCs w:val="16"/>
              </w:rPr>
              <w:t>3</w:t>
            </w:r>
            <w:r>
              <w:rPr>
                <w:sz w:val="16"/>
                <w:szCs w:val="16"/>
              </w:rPr>
              <w:t xml:space="preserve"> - </w:t>
            </w:r>
            <w:r>
              <w:rPr>
                <w:noProof/>
                <w:sz w:val="16"/>
                <w:szCs w:val="16"/>
              </w:rPr>
              <w:t>Retour</w:t>
            </w:r>
          </w:p>
        </w:tc>
        <w:tc>
          <w:tcPr>
            <w:shd w:val="clear" w:color="auto" w:fill="auto"/>
          </w:tcPr>
          <w:p w:rsidR="0084560F" w:rsidRPr="00557448" w:rsidP="00C13D6C">
            <w:pPr>
              <w:spacing w:before="0" w:after="0"/>
              <w:jc w:val="left"/>
              <w:rPr>
                <w:sz w:val="16"/>
                <w:szCs w:val="16"/>
              </w:rPr>
            </w:pPr>
            <w:r>
              <w:rPr>
                <w:noProof/>
                <w:sz w:val="16"/>
                <w:szCs w:val="16"/>
              </w:rPr>
              <w:t>AS</w:t>
            </w:r>
            <w:r>
              <w:rPr>
                <w:noProof/>
                <w:sz w:val="16"/>
                <w:szCs w:val="16"/>
              </w:rPr>
              <w:t>5</w:t>
            </w:r>
            <w:r>
              <w:rPr>
                <w:sz w:val="16"/>
                <w:szCs w:val="16"/>
              </w:rPr>
              <w:t xml:space="preserve"> - </w:t>
            </w:r>
            <w:r>
              <w:rPr>
                <w:noProof/>
                <w:sz w:val="16"/>
                <w:szCs w:val="16"/>
              </w:rPr>
              <w:t>Opérations conjointes de retour</w:t>
            </w:r>
          </w:p>
        </w:tc>
        <w:tc>
          <w:tcPr>
            <w:shd w:val="clear" w:color="auto" w:fill="auto"/>
          </w:tcPr>
          <w:p w:rsidR="0084560F" w:rsidRPr="00557448" w:rsidP="00C13D6C">
            <w:pPr>
              <w:spacing w:before="0" w:after="0"/>
              <w:jc w:val="center"/>
              <w:rPr>
                <w:sz w:val="16"/>
                <w:szCs w:val="16"/>
              </w:rPr>
            </w:pPr>
            <w:r w:rsidRPr="00557448">
              <w:rPr>
                <w:noProof/>
                <w:sz w:val="16"/>
                <w:szCs w:val="16"/>
              </w:rPr>
              <w:t>1</w:t>
            </w:r>
          </w:p>
        </w:tc>
        <w:tc>
          <w:tcPr>
            <w:shd w:val="clear" w:color="auto" w:fill="auto"/>
          </w:tcPr>
          <w:p w:rsidR="0084560F" w:rsidRPr="00557448" w:rsidP="00C13D6C">
            <w:pPr>
              <w:spacing w:before="0" w:after="0"/>
              <w:jc w:val="left"/>
              <w:rPr>
                <w:sz w:val="16"/>
                <w:szCs w:val="16"/>
              </w:rPr>
            </w:pPr>
            <w:r w:rsidRPr="00557448">
              <w:rPr>
                <w:noProof/>
                <w:sz w:val="16"/>
                <w:szCs w:val="16"/>
              </w:rPr>
              <w:t>SA EUR-LO</w:t>
            </w:r>
          </w:p>
        </w:tc>
        <w:tc>
          <w:tcPr>
            <w:shd w:val="clear" w:color="auto" w:fill="auto"/>
          </w:tcPr>
          <w:p w:rsidR="0084560F" w:rsidRPr="00557448" w:rsidP="00C13D6C">
            <w:pPr>
              <w:spacing w:before="0" w:after="0"/>
              <w:jc w:val="center"/>
              <w:rPr>
                <w:sz w:val="16"/>
                <w:szCs w:val="16"/>
              </w:rPr>
            </w:pPr>
            <w:r>
              <w:rPr>
                <w:noProof/>
                <w:sz w:val="16"/>
                <w:szCs w:val="16"/>
              </w:rPr>
              <w:t>2014</w:t>
            </w:r>
          </w:p>
        </w:tc>
        <w:tc>
          <w:tcPr>
            <w:shd w:val="clear" w:color="auto" w:fill="auto"/>
          </w:tcPr>
          <w:p w:rsidR="0084560F" w:rsidRPr="00557448" w:rsidP="00C13D6C">
            <w:pPr>
              <w:spacing w:before="0" w:after="0"/>
              <w:jc w:val="center"/>
              <w:rPr>
                <w:sz w:val="16"/>
                <w:szCs w:val="16"/>
              </w:rPr>
            </w:pPr>
            <w:r>
              <w:rPr>
                <w:noProof/>
                <w:sz w:val="16"/>
                <w:szCs w:val="16"/>
              </w:rPr>
              <w:t>2015</w:t>
            </w:r>
          </w:p>
        </w:tc>
        <w:tc>
          <w:tcPr>
            <w:shd w:val="clear" w:color="auto" w:fill="auto"/>
          </w:tcPr>
          <w:p w:rsidR="0084560F" w:rsidRPr="00557448" w:rsidP="00C13D6C">
            <w:pPr>
              <w:spacing w:before="0" w:after="0"/>
              <w:jc w:val="center"/>
              <w:rPr>
                <w:sz w:val="16"/>
                <w:szCs w:val="16"/>
              </w:rPr>
            </w:pPr>
            <w:r>
              <w:rPr>
                <w:noProof/>
                <w:sz w:val="16"/>
                <w:szCs w:val="16"/>
              </w:rPr>
              <w:t>2022</w:t>
            </w:r>
          </w:p>
        </w:tc>
      </w:tr>
    </w:tbl>
    <w:p w:rsidR="0084560F" w:rsidRPr="00EA12D4" w:rsidP="00C13D6C">
      <w:pPr>
        <w:spacing w:before="0" w:after="0"/>
        <w:sectPr w:rsidSect="00376681">
          <w:headerReference w:type="default" r:id="rId7"/>
          <w:headerReference w:type="first" r:id="rId8"/>
          <w:footerReference w:type="first" r:id="rId9"/>
          <w:pgSz w:w="11906" w:h="16838" w:code="9"/>
          <w:pgMar w:top="1418" w:right="1418" w:bottom="1418" w:left="1418" w:header="567" w:footer="567" w:gutter="0"/>
          <w:cols w:space="720"/>
          <w:docGrid w:linePitch="326"/>
        </w:sectPr>
      </w:pPr>
    </w:p>
    <w:p w:rsidR="0084560F" w:rsidP="00C13D6C">
      <w:pPr>
        <w:pStyle w:val="Heading1"/>
        <w:numPr>
          <w:ilvl w:val="0"/>
          <w:numId w:val="0"/>
        </w:numPr>
        <w:spacing w:before="0" w:after="0"/>
        <w:ind w:left="850" w:hanging="850"/>
        <w:jc w:val="left"/>
      </w:pPr>
      <w:bookmarkStart w:id="122" w:name="_Toc256000012"/>
      <w:bookmarkStart w:id="123" w:name="_Toc256000070"/>
      <w:bookmarkStart w:id="124" w:name="_Toc256000128"/>
      <w:bookmarkStart w:id="125" w:name="_Toc256000186"/>
      <w:r w:rsidRPr="00EA12D4">
        <w:rPr>
          <w:noProof/>
        </w:rPr>
        <w:t>4. CAS SPÉCIAUX</w:t>
      </w:r>
      <w:bookmarkEnd w:id="125"/>
      <w:bookmarkEnd w:id="124"/>
      <w:bookmarkEnd w:id="123"/>
      <w:bookmarkEnd w:id="122"/>
    </w:p>
    <w:p w:rsidR="0084560F" w:rsidP="00C13D6C">
      <w:pPr>
        <w:pStyle w:val="Text1"/>
        <w:spacing w:before="0" w:after="0"/>
        <w:ind w:left="0"/>
      </w:pPr>
    </w:p>
    <w:p w:rsidR="0084560F" w:rsidP="00C13D6C">
      <w:pPr>
        <w:pStyle w:val="Heading2"/>
        <w:numPr>
          <w:ilvl w:val="0"/>
          <w:numId w:val="0"/>
        </w:numPr>
        <w:spacing w:before="0" w:after="0"/>
        <w:ind w:left="850" w:hanging="850"/>
      </w:pPr>
      <w:bookmarkStart w:id="126" w:name="_Toc256000013"/>
      <w:bookmarkStart w:id="127" w:name="_Toc256000071"/>
      <w:bookmarkStart w:id="128" w:name="_Toc256000129"/>
      <w:bookmarkStart w:id="129" w:name="_Toc256000187"/>
      <w:r w:rsidRPr="006C630D">
        <w:rPr>
          <w:noProof/>
        </w:rPr>
        <w:t>4.1 Réinstallation</w:t>
      </w:r>
      <w:bookmarkEnd w:id="129"/>
      <w:bookmarkEnd w:id="128"/>
      <w:bookmarkEnd w:id="127"/>
      <w:bookmarkEnd w:id="126"/>
    </w:p>
    <w:p w:rsidR="0084560F" w:rsidRPr="00112B5C" w:rsidP="00C13D6C">
      <w:pPr>
        <w:pStyle w:val="Text1"/>
        <w:spacing w:before="0" w:after="0"/>
        <w:ind w:left="0"/>
      </w:pPr>
    </w:p>
    <w:p w:rsidR="0084560F" w:rsidRPr="004B1639" w:rsidP="004B1639">
      <w:pPr>
        <w:pStyle w:val="Heading4"/>
        <w:numPr>
          <w:ilvl w:val="0"/>
          <w:numId w:val="0"/>
        </w:numPr>
        <w:rPr>
          <w:b/>
        </w:rPr>
      </w:pPr>
      <w:bookmarkStart w:id="130" w:name="_Toc256000014"/>
      <w:bookmarkStart w:id="131" w:name="_Toc256000072"/>
      <w:bookmarkStart w:id="132" w:name="_Toc256000130"/>
      <w:bookmarkStart w:id="133" w:name="_Toc256000188"/>
      <w:r w:rsidRPr="004B1639">
        <w:rPr>
          <w:b/>
          <w:noProof/>
        </w:rPr>
        <w:t>Justification du nombre de personnes à réinstaller</w:t>
      </w:r>
      <w:bookmarkEnd w:id="133"/>
      <w:bookmarkEnd w:id="132"/>
      <w:bookmarkEnd w:id="131"/>
      <w:bookmarkEnd w:id="130"/>
    </w:p>
    <w:p w:rsidR="004B1639" w:rsidP="00C13D6C">
      <w:pPr>
        <w:pStyle w:val="Text1"/>
        <w:keepNext/>
        <w:spacing w:before="0" w:after="0"/>
        <w:ind w:left="0"/>
        <w:rPr>
          <w:b/>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Tr="00A93145">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ind w:left="720"/>
              <w:jc w:val="left"/>
              <w:rPr>
                <w:rFonts w:ascii="Times New Roman" w:eastAsia="Times New Roman" w:hAnsi="Times New Roman" w:cs="Times New Roman"/>
              </w:rPr>
            </w:pPr>
            <w:r>
              <w:rPr>
                <w:rFonts w:ascii="Times New Roman" w:eastAsia="Times New Roman" w:hAnsi="Times New Roman" w:cs="Times New Roman"/>
              </w:rPr>
              <w:t>Pledging: Numbers will increase gradually in order to foresee sufficient supporting measures and permanent housing.</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For 2014-2015: 400. For 2014 100 (common Union resettlement priorities). For 2015: 300 refugees.</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For the period 2016-2017: 1.100 , see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For the period 2018: 2.000 with a focus on the proposed priorities.</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For the period 2019-2020: 365 with a focus on the proposed priorities</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rsidR="004B1639" w:rsidRPr="004B1639" w:rsidP="00A93145">
            <w:pPr>
              <w:pStyle w:val="Text1"/>
              <w:spacing w:before="0" w:after="0"/>
              <w:ind w:left="0"/>
            </w:pPr>
          </w:p>
        </w:tc>
      </w:tr>
    </w:tbl>
    <w:p w:rsidR="004B1639" w:rsidRPr="004347AF" w:rsidP="00C13D6C">
      <w:pPr>
        <w:pStyle w:val="Text1"/>
        <w:keepNext/>
        <w:spacing w:before="0" w:after="0"/>
        <w:ind w:left="0"/>
        <w:rPr>
          <w:b/>
        </w:rPr>
      </w:pPr>
    </w:p>
    <w:p w:rsidR="0084560F" w:rsidRPr="004B1639" w:rsidP="004B1639">
      <w:pPr>
        <w:pStyle w:val="Heading4"/>
        <w:numPr>
          <w:ilvl w:val="0"/>
          <w:numId w:val="0"/>
        </w:numPr>
        <w:rPr>
          <w:b/>
        </w:rPr>
      </w:pPr>
      <w:bookmarkStart w:id="134" w:name="_Toc256000015"/>
      <w:bookmarkStart w:id="135" w:name="_Toc256000073"/>
      <w:bookmarkStart w:id="136" w:name="_Toc256000131"/>
      <w:bookmarkStart w:id="137" w:name="_Toc256000189"/>
      <w:r w:rsidRPr="004B1639">
        <w:rPr>
          <w:b/>
          <w:noProof/>
        </w:rPr>
        <w:t>Plan d’engagement</w:t>
      </w:r>
      <w:bookmarkEnd w:id="137"/>
      <w:bookmarkEnd w:id="136"/>
      <w:bookmarkEnd w:id="135"/>
      <w:bookmarkEnd w:id="134"/>
    </w:p>
    <w:p w:rsidR="004B1639" w:rsidRPr="000C20E9" w:rsidP="00C13D6C">
      <w:pPr>
        <w:pStyle w:val="Text1"/>
        <w:keepNext/>
        <w:spacing w:before="0" w:after="0"/>
        <w:ind w:left="0"/>
        <w:rPr>
          <w:b/>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911"/>
        <w:gridCol w:w="911"/>
        <w:gridCol w:w="911"/>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3"/>
          <w:tblHeader/>
        </w:trPr>
        <w:tc>
          <w:tcPr>
            <w:shd w:val="clear" w:color="auto" w:fill="auto"/>
          </w:tcPr>
          <w:p w:rsidR="0084560F" w:rsidRPr="00687CC2" w:rsidP="00C13D6C">
            <w:pPr>
              <w:spacing w:before="0" w:after="0"/>
              <w:jc w:val="left"/>
              <w:rPr>
                <w:b/>
              </w:rPr>
            </w:pPr>
            <w:r w:rsidRPr="00687CC2">
              <w:rPr>
                <w:b/>
                <w:noProof/>
              </w:rPr>
              <w:t>Groupes vulnérables et priorités communes de l’Union en matière de réinstallation</w:t>
            </w:r>
          </w:p>
          <w:p w:rsidR="0084560F" w:rsidRPr="00687CC2" w:rsidP="00C13D6C">
            <w:pPr>
              <w:spacing w:before="0" w:after="0"/>
              <w:jc w:val="left"/>
              <w:rPr>
                <w:b/>
              </w:rPr>
            </w:pPr>
            <w:r w:rsidRPr="00687CC2">
              <w:rPr>
                <w:b/>
              </w:rPr>
              <w:t>(</w:t>
            </w:r>
            <w:r w:rsidRPr="00687CC2">
              <w:rPr>
                <w:b/>
                <w:noProof/>
              </w:rPr>
              <w:t>Somme forfaitaire de 10 000 € par personne réinstallée</w:t>
            </w:r>
            <w:r w:rsidRPr="00687CC2">
              <w:rPr>
                <w:b/>
              </w:rPr>
              <w:t>)</w:t>
            </w:r>
          </w:p>
        </w:tc>
        <w:tc>
          <w:tcPr>
            <w:shd w:val="clear" w:color="auto" w:fill="auto"/>
          </w:tcPr>
          <w:p w:rsidR="0084560F" w:rsidRPr="00687CC2" w:rsidP="00C13D6C">
            <w:pPr>
              <w:spacing w:before="0" w:after="0"/>
              <w:jc w:val="center"/>
              <w:rPr>
                <w:b/>
              </w:rPr>
            </w:pPr>
            <w:r w:rsidRPr="00687CC2">
              <w:rPr>
                <w:b/>
              </w:rPr>
              <w:t>2014-2015</w:t>
            </w:r>
          </w:p>
        </w:tc>
        <w:tc>
          <w:tcPr>
            <w:shd w:val="clear" w:color="auto" w:fill="auto"/>
          </w:tcPr>
          <w:p w:rsidR="0084560F" w:rsidRPr="00687CC2" w:rsidP="00C13D6C">
            <w:pPr>
              <w:spacing w:before="0" w:after="0"/>
              <w:jc w:val="center"/>
              <w:rPr>
                <w:b/>
              </w:rPr>
            </w:pPr>
            <w:r w:rsidRPr="00687CC2">
              <w:rPr>
                <w:b/>
              </w:rPr>
              <w:t>2016-2017</w:t>
            </w:r>
          </w:p>
        </w:tc>
        <w:tc>
          <w:tcPr>
            <w:shd w:val="clear" w:color="auto" w:fill="auto"/>
          </w:tcPr>
          <w:p w:rsidR="0084560F" w:rsidRPr="00687CC2" w:rsidP="00C13D6C">
            <w:pPr>
              <w:spacing w:before="0" w:after="0"/>
              <w:jc w:val="center"/>
              <w:rPr>
                <w:b/>
              </w:rPr>
            </w:pPr>
            <w:r w:rsidRPr="00687CC2">
              <w:rPr>
                <w:b/>
              </w:rPr>
              <w:t>2018-2020</w:t>
            </w:r>
          </w:p>
        </w:tc>
      </w:tr>
      <w:tr w:rsidTr="00376681">
        <w:tblPrEx>
          <w:tblW w:w="5000" w:type="pct"/>
          <w:tblInd w:w="108" w:type="dxa"/>
          <w:tblLook w:val="04A0"/>
        </w:tblPrEx>
        <w:trPr>
          <w:trHeight w:val="487"/>
        </w:trPr>
        <w:tc>
          <w:tcPr>
            <w:shd w:val="clear" w:color="auto" w:fill="auto"/>
          </w:tcPr>
          <w:p w:rsidR="0084560F" w:rsidRPr="00CE5492" w:rsidP="00C13D6C">
            <w:pPr>
              <w:spacing w:before="0" w:after="0"/>
              <w:jc w:val="left"/>
              <w:rPr>
                <w:sz w:val="20"/>
                <w:szCs w:val="20"/>
              </w:rPr>
            </w:pPr>
            <w:r>
              <w:rPr>
                <w:noProof/>
                <w:sz w:val="20"/>
                <w:szCs w:val="20"/>
              </w:rPr>
              <w:t>Programme de protection régional en Afrique du Nord (Égypte, Libye, Tunisie)</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Pr>
                <w:noProof/>
                <w:sz w:val="20"/>
                <w:szCs w:val="20"/>
              </w:rPr>
              <w:t>87</w:t>
            </w:r>
          </w:p>
        </w:tc>
      </w:tr>
      <w:tr w:rsidTr="00376681">
        <w:tblPrEx>
          <w:tblW w:w="5000" w:type="pct"/>
          <w:tblInd w:w="108" w:type="dxa"/>
          <w:tblLook w:val="04A0"/>
        </w:tblPrEx>
        <w:trPr>
          <w:trHeight w:val="487"/>
        </w:trPr>
        <w:tc>
          <w:tcPr>
            <w:shd w:val="clear" w:color="auto" w:fill="auto"/>
          </w:tcPr>
          <w:p w:rsidR="0084560F" w:rsidRPr="00CE5492" w:rsidP="00C13D6C">
            <w:pPr>
              <w:spacing w:before="0" w:after="0"/>
              <w:jc w:val="left"/>
              <w:rPr>
                <w:sz w:val="20"/>
                <w:szCs w:val="20"/>
              </w:rPr>
            </w:pPr>
            <w:r>
              <w:rPr>
                <w:noProof/>
                <w:sz w:val="20"/>
                <w:szCs w:val="20"/>
              </w:rPr>
              <w:t>Réfugiés dans la région d’Afrique orientale/des Grands lacs</w:t>
            </w:r>
          </w:p>
        </w:tc>
        <w:tc>
          <w:tcPr>
            <w:shd w:val="clear" w:color="auto" w:fill="auto"/>
          </w:tcPr>
          <w:p w:rsidR="0084560F" w:rsidRPr="00CE5492" w:rsidP="00C13D6C">
            <w:pPr>
              <w:spacing w:before="0" w:after="0"/>
              <w:jc w:val="right"/>
              <w:rPr>
                <w:sz w:val="20"/>
                <w:szCs w:val="20"/>
              </w:rPr>
            </w:pPr>
            <w:r>
              <w:rPr>
                <w:noProof/>
                <w:sz w:val="20"/>
                <w:szCs w:val="20"/>
              </w:rPr>
              <w:t>100</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Pr>
                <w:noProof/>
                <w:sz w:val="20"/>
                <w:szCs w:val="20"/>
              </w:rPr>
              <w:t>87</w:t>
            </w:r>
          </w:p>
        </w:tc>
      </w:tr>
      <w:tr w:rsidTr="00376681">
        <w:tblPrEx>
          <w:tblW w:w="5000" w:type="pct"/>
          <w:tblInd w:w="108" w:type="dxa"/>
          <w:tblLook w:val="04A0"/>
        </w:tblPrEx>
        <w:trPr>
          <w:trHeight w:val="487"/>
        </w:trPr>
        <w:tc>
          <w:tcPr>
            <w:shd w:val="clear" w:color="auto" w:fill="auto"/>
          </w:tcPr>
          <w:p w:rsidR="0084560F" w:rsidRPr="00CE5492" w:rsidP="00C13D6C">
            <w:pPr>
              <w:spacing w:before="0" w:after="0"/>
              <w:jc w:val="left"/>
              <w:rPr>
                <w:sz w:val="20"/>
                <w:szCs w:val="20"/>
              </w:rPr>
            </w:pPr>
            <w:r>
              <w:rPr>
                <w:noProof/>
                <w:sz w:val="20"/>
                <w:szCs w:val="20"/>
              </w:rPr>
              <w:t>Réfugiés syriens dans la région</w:t>
            </w:r>
          </w:p>
        </w:tc>
        <w:tc>
          <w:tcPr>
            <w:shd w:val="clear" w:color="auto" w:fill="auto"/>
          </w:tcPr>
          <w:p w:rsidR="0084560F" w:rsidRPr="00CE5492" w:rsidP="00C13D6C">
            <w:pPr>
              <w:spacing w:before="0" w:after="0"/>
              <w:jc w:val="right"/>
              <w:rPr>
                <w:sz w:val="20"/>
                <w:szCs w:val="20"/>
              </w:rPr>
            </w:pPr>
            <w:r>
              <w:rPr>
                <w:noProof/>
                <w:sz w:val="20"/>
                <w:szCs w:val="20"/>
              </w:rPr>
              <w:t>300</w:t>
            </w:r>
          </w:p>
        </w:tc>
        <w:tc>
          <w:tcPr>
            <w:shd w:val="clear" w:color="auto" w:fill="auto"/>
          </w:tcPr>
          <w:p w:rsidR="0084560F" w:rsidRPr="00CE5492" w:rsidP="00C13D6C">
            <w:pPr>
              <w:spacing w:before="0" w:after="0"/>
              <w:jc w:val="right"/>
              <w:rPr>
                <w:sz w:val="20"/>
                <w:szCs w:val="20"/>
              </w:rPr>
            </w:pPr>
            <w:r>
              <w:rPr>
                <w:noProof/>
                <w:sz w:val="20"/>
                <w:szCs w:val="20"/>
              </w:rPr>
              <w:t>1 100</w:t>
            </w:r>
          </w:p>
        </w:tc>
        <w:tc>
          <w:tcPr>
            <w:shd w:val="clear" w:color="auto" w:fill="auto"/>
          </w:tcPr>
          <w:p w:rsidR="0084560F" w:rsidRPr="00CE5492" w:rsidP="00C13D6C">
            <w:pPr>
              <w:spacing w:before="0" w:after="0"/>
              <w:jc w:val="right"/>
              <w:rPr>
                <w:sz w:val="20"/>
                <w:szCs w:val="20"/>
              </w:rPr>
            </w:pPr>
            <w:r>
              <w:rPr>
                <w:noProof/>
                <w:sz w:val="20"/>
                <w:szCs w:val="20"/>
              </w:rPr>
              <w:t>2 191</w:t>
            </w:r>
          </w:p>
        </w:tc>
      </w:tr>
      <w:tr w:rsidTr="00376681">
        <w:tblPrEx>
          <w:tblW w:w="5000" w:type="pct"/>
          <w:tblInd w:w="108" w:type="dxa"/>
          <w:tblLook w:val="04A0"/>
        </w:tblPrEx>
        <w:trPr>
          <w:trHeight w:val="487"/>
        </w:trPr>
        <w:tc>
          <w:tcPr>
            <w:shd w:val="clear" w:color="auto" w:fill="auto"/>
          </w:tcPr>
          <w:p w:rsidR="0084560F" w:rsidRPr="00CE5492" w:rsidP="00C13D6C">
            <w:pPr>
              <w:spacing w:before="0" w:after="0"/>
              <w:jc w:val="left"/>
              <w:rPr>
                <w:sz w:val="20"/>
                <w:szCs w:val="20"/>
              </w:rPr>
            </w:pPr>
            <w:r w:rsidRPr="00A1770F">
              <w:rPr>
                <w:b/>
                <w:noProof/>
                <w:sz w:val="20"/>
                <w:szCs w:val="20"/>
              </w:rPr>
              <w:t>Montant total - Priorités de l’Union</w:t>
            </w:r>
          </w:p>
        </w:tc>
        <w:tc>
          <w:tcPr>
            <w:shd w:val="clear" w:color="auto" w:fill="auto"/>
          </w:tcPr>
          <w:p w:rsidR="0084560F" w:rsidRPr="00CE5492" w:rsidP="00C13D6C">
            <w:pPr>
              <w:spacing w:before="0" w:after="0"/>
              <w:jc w:val="right"/>
              <w:rPr>
                <w:sz w:val="20"/>
                <w:szCs w:val="20"/>
              </w:rPr>
            </w:pPr>
            <w:r w:rsidRPr="00932C57">
              <w:rPr>
                <w:b/>
                <w:noProof/>
                <w:sz w:val="20"/>
                <w:szCs w:val="20"/>
              </w:rPr>
              <w:t>400</w:t>
            </w:r>
          </w:p>
        </w:tc>
        <w:tc>
          <w:tcPr>
            <w:shd w:val="clear" w:color="auto" w:fill="auto"/>
          </w:tcPr>
          <w:p w:rsidR="0084560F" w:rsidRPr="00CE5492" w:rsidP="00C13D6C">
            <w:pPr>
              <w:spacing w:before="0" w:after="0"/>
              <w:jc w:val="right"/>
              <w:rPr>
                <w:sz w:val="20"/>
                <w:szCs w:val="20"/>
              </w:rPr>
            </w:pPr>
            <w:r w:rsidRPr="00932C57">
              <w:rPr>
                <w:b/>
                <w:noProof/>
                <w:sz w:val="20"/>
                <w:szCs w:val="20"/>
              </w:rPr>
              <w:t>1 100</w:t>
            </w:r>
          </w:p>
        </w:tc>
        <w:tc>
          <w:tcPr>
            <w:shd w:val="clear" w:color="auto" w:fill="auto"/>
          </w:tcPr>
          <w:p w:rsidR="0084560F" w:rsidRPr="00CE5492" w:rsidP="00C13D6C">
            <w:pPr>
              <w:spacing w:before="0" w:after="0"/>
              <w:jc w:val="right"/>
              <w:rPr>
                <w:sz w:val="20"/>
                <w:szCs w:val="20"/>
              </w:rPr>
            </w:pPr>
            <w:r w:rsidRPr="00932C57">
              <w:rPr>
                <w:b/>
                <w:noProof/>
                <w:sz w:val="20"/>
                <w:szCs w:val="20"/>
              </w:rPr>
              <w:t>2 365</w:t>
            </w:r>
          </w:p>
        </w:tc>
      </w:tr>
      <w:tr w:rsidTr="00376681">
        <w:tblPrEx>
          <w:tblW w:w="5000" w:type="pct"/>
          <w:tblInd w:w="108" w:type="dxa"/>
          <w:tblLook w:val="04A0"/>
        </w:tblPrEx>
        <w:trPr>
          <w:trHeight w:val="487"/>
        </w:trPr>
        <w:tc>
          <w:tcPr>
            <w:shd w:val="clear" w:color="auto" w:fill="auto"/>
          </w:tcPr>
          <w:p w:rsidR="0084560F" w:rsidRPr="00CE5492" w:rsidP="00C13D6C">
            <w:pPr>
              <w:spacing w:before="0" w:after="0"/>
              <w:jc w:val="left"/>
              <w:rPr>
                <w:sz w:val="20"/>
                <w:szCs w:val="20"/>
              </w:rPr>
            </w:pPr>
            <w:r w:rsidRPr="00A1770F">
              <w:rPr>
                <w:b/>
                <w:noProof/>
                <w:sz w:val="20"/>
                <w:szCs w:val="20"/>
              </w:rPr>
              <w:t>Total général</w:t>
            </w:r>
          </w:p>
        </w:tc>
        <w:tc>
          <w:tcPr>
            <w:shd w:val="clear" w:color="auto" w:fill="auto"/>
          </w:tcPr>
          <w:p w:rsidR="0084560F" w:rsidRPr="00CE5492" w:rsidP="00C13D6C">
            <w:pPr>
              <w:spacing w:before="0" w:after="0"/>
              <w:jc w:val="right"/>
              <w:rPr>
                <w:sz w:val="20"/>
                <w:szCs w:val="20"/>
              </w:rPr>
            </w:pPr>
            <w:r w:rsidRPr="00932C57">
              <w:rPr>
                <w:b/>
                <w:noProof/>
                <w:sz w:val="20"/>
                <w:szCs w:val="20"/>
              </w:rPr>
              <w:t>400</w:t>
            </w:r>
          </w:p>
        </w:tc>
        <w:tc>
          <w:tcPr>
            <w:shd w:val="clear" w:color="auto" w:fill="auto"/>
          </w:tcPr>
          <w:p w:rsidR="0084560F" w:rsidRPr="00CE5492" w:rsidP="00C13D6C">
            <w:pPr>
              <w:spacing w:before="0" w:after="0"/>
              <w:jc w:val="right"/>
              <w:rPr>
                <w:sz w:val="20"/>
                <w:szCs w:val="20"/>
              </w:rPr>
            </w:pPr>
            <w:r w:rsidRPr="00932C57">
              <w:rPr>
                <w:b/>
                <w:noProof/>
                <w:sz w:val="20"/>
                <w:szCs w:val="20"/>
              </w:rPr>
              <w:t>1 100</w:t>
            </w:r>
          </w:p>
        </w:tc>
        <w:tc>
          <w:tcPr>
            <w:shd w:val="clear" w:color="auto" w:fill="auto"/>
          </w:tcPr>
          <w:p w:rsidR="0084560F" w:rsidRPr="00CE5492" w:rsidP="00C13D6C">
            <w:pPr>
              <w:spacing w:before="0" w:after="0"/>
              <w:jc w:val="right"/>
              <w:rPr>
                <w:sz w:val="20"/>
                <w:szCs w:val="20"/>
              </w:rPr>
            </w:pPr>
            <w:r w:rsidRPr="00932C57">
              <w:rPr>
                <w:b/>
                <w:noProof/>
                <w:sz w:val="20"/>
                <w:szCs w:val="20"/>
              </w:rPr>
              <w:t>2 365</w:t>
            </w:r>
          </w:p>
        </w:tc>
      </w:tr>
    </w:tbl>
    <w:p w:rsidR="0084560F" w:rsidP="00C13D6C">
      <w:pPr>
        <w:spacing w:before="0" w:after="0"/>
        <w:rPr>
          <w:b/>
        </w:rPr>
      </w:pPr>
    </w:p>
    <w:p w:rsidR="0084560F" w:rsidP="00C13D6C">
      <w:pPr>
        <w:pStyle w:val="Heading2"/>
        <w:numPr>
          <w:ilvl w:val="0"/>
          <w:numId w:val="0"/>
        </w:numPr>
        <w:spacing w:before="0" w:after="0"/>
        <w:ind w:left="850" w:hanging="850"/>
      </w:pPr>
      <w:r>
        <w:br w:type="page"/>
      </w:r>
      <w:bookmarkStart w:id="138" w:name="_Toc256000016"/>
      <w:bookmarkStart w:id="139" w:name="_Toc256000074"/>
      <w:bookmarkStart w:id="140" w:name="_Toc256000132"/>
      <w:bookmarkStart w:id="141" w:name="_Toc256000190"/>
      <w:r w:rsidRPr="006C630D">
        <w:rPr>
          <w:noProof/>
        </w:rPr>
        <w:t>4.2 Transfert et relocalisation</w:t>
      </w:r>
      <w:bookmarkEnd w:id="141"/>
      <w:bookmarkEnd w:id="140"/>
      <w:bookmarkEnd w:id="139"/>
      <w:bookmarkEnd w:id="138"/>
    </w:p>
    <w:p w:rsidR="00013A7B" w:rsidRPr="00013A7B" w:rsidP="00C13D6C">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1035"/>
        <w:gridCol w:w="1051"/>
        <w:gridCol w:w="1400"/>
        <w:gridCol w:w="1400"/>
        <w:gridCol w:w="1400"/>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7"/>
          <w:tblHeader/>
        </w:trPr>
        <w:tc>
          <w:tcPr>
            <w:shd w:val="clear" w:color="auto" w:fill="auto"/>
          </w:tcPr>
          <w:p w:rsidR="0084560F" w:rsidRPr="00EA12D4" w:rsidP="00C13D6C">
            <w:pPr>
              <w:spacing w:before="0" w:after="0"/>
            </w:pPr>
          </w:p>
        </w:tc>
        <w:tc>
          <w:tcPr/>
          <w:p w:rsidR="0084560F" w:rsidRPr="00356B4F" w:rsidP="00C13D6C">
            <w:pPr>
              <w:spacing w:before="0" w:after="0"/>
              <w:jc w:val="center"/>
              <w:rPr>
                <w:b/>
              </w:rPr>
            </w:pPr>
            <w:r>
              <w:rPr>
                <w:b/>
                <w:noProof/>
              </w:rPr>
              <w:t>Depuis</w:t>
            </w:r>
          </w:p>
        </w:tc>
        <w:tc>
          <w:tcPr/>
          <w:p w:rsidR="0084560F" w:rsidRPr="00356B4F" w:rsidP="00C13D6C">
            <w:pPr>
              <w:spacing w:before="0" w:after="0"/>
              <w:jc w:val="center"/>
              <w:rPr>
                <w:b/>
              </w:rPr>
            </w:pPr>
            <w:r>
              <w:rPr>
                <w:b/>
                <w:noProof/>
              </w:rPr>
              <w:t>Vers</w:t>
            </w:r>
          </w:p>
        </w:tc>
        <w:tc>
          <w:tcPr>
            <w:shd w:val="clear" w:color="auto" w:fill="auto"/>
          </w:tcPr>
          <w:p w:rsidR="0084560F" w:rsidRPr="00356B4F" w:rsidP="00C13D6C">
            <w:pPr>
              <w:spacing w:before="0" w:after="0"/>
              <w:jc w:val="center"/>
              <w:rPr>
                <w:b/>
              </w:rPr>
            </w:pPr>
            <w:r w:rsidRPr="00356B4F">
              <w:rPr>
                <w:b/>
              </w:rPr>
              <w:t>2014-2015</w:t>
            </w:r>
          </w:p>
        </w:tc>
        <w:tc>
          <w:tcPr>
            <w:shd w:val="clear" w:color="auto" w:fill="auto"/>
          </w:tcPr>
          <w:p w:rsidR="0084560F" w:rsidRPr="00356B4F" w:rsidP="00C13D6C">
            <w:pPr>
              <w:spacing w:before="0" w:after="0"/>
              <w:jc w:val="center"/>
              <w:rPr>
                <w:b/>
              </w:rPr>
            </w:pPr>
            <w:r w:rsidRPr="00356B4F">
              <w:rPr>
                <w:b/>
              </w:rPr>
              <w:t>2016-2017</w:t>
            </w:r>
          </w:p>
        </w:tc>
        <w:tc>
          <w:tcPr>
            <w:shd w:val="clear" w:color="auto" w:fill="auto"/>
          </w:tcPr>
          <w:p w:rsidR="0084560F" w:rsidRPr="00356B4F" w:rsidP="00C13D6C">
            <w:pPr>
              <w:spacing w:before="0" w:after="0"/>
              <w:jc w:val="center"/>
              <w:rPr>
                <w:b/>
              </w:rPr>
            </w:pPr>
            <w:r w:rsidRPr="00356B4F">
              <w:rPr>
                <w:b/>
              </w:rPr>
              <w:t>2018-2020</w:t>
            </w:r>
          </w:p>
        </w:tc>
      </w:tr>
      <w:tr w:rsidTr="00376681">
        <w:tblPrEx>
          <w:tblW w:w="5000" w:type="pct"/>
          <w:tblInd w:w="108" w:type="dxa"/>
          <w:tblLook w:val="04A0"/>
        </w:tblPrEx>
        <w:trPr>
          <w:trHeight w:val="207"/>
        </w:trPr>
        <w:tc>
          <w:tcPr>
            <w:shd w:val="clear" w:color="auto" w:fill="auto"/>
          </w:tcPr>
          <w:p w:rsidR="0084560F" w:rsidRPr="00CE5492" w:rsidP="00C13D6C">
            <w:pPr>
              <w:spacing w:before="0" w:after="0"/>
              <w:jc w:val="left"/>
              <w:rPr>
                <w:sz w:val="20"/>
                <w:szCs w:val="20"/>
              </w:rPr>
            </w:pPr>
            <w:r>
              <w:rPr>
                <w:noProof/>
                <w:sz w:val="20"/>
                <w:szCs w:val="20"/>
              </w:rPr>
              <w:t>Transfert</w:t>
            </w:r>
          </w:p>
        </w:tc>
        <w:tc>
          <w:tcPr/>
          <w:p w:rsidR="0084560F" w:rsidRPr="00CE5492" w:rsidP="00C13D6C">
            <w:pPr>
              <w:spacing w:before="0" w:after="0"/>
              <w:jc w:val="left"/>
              <w:rPr>
                <w:sz w:val="20"/>
                <w:szCs w:val="20"/>
              </w:rPr>
            </w:pPr>
          </w:p>
        </w:tc>
        <w:tc>
          <w:tcPr/>
          <w:p w:rsidR="0084560F" w:rsidRPr="00CE5492" w:rsidP="00C13D6C">
            <w:pPr>
              <w:spacing w:before="0" w:after="0"/>
              <w:jc w:val="left"/>
              <w:rPr>
                <w:sz w:val="20"/>
                <w:szCs w:val="20"/>
              </w:rPr>
            </w:pPr>
            <w:r>
              <w:rPr>
                <w:noProof/>
                <w:sz w:val="20"/>
                <w:szCs w:val="20"/>
              </w:rPr>
              <w:t>Belgique</w:t>
            </w:r>
          </w:p>
        </w:tc>
        <w:tc>
          <w:tcPr>
            <w:shd w:val="clear" w:color="auto" w:fill="auto"/>
          </w:tcPr>
          <w:p w:rsidR="0084560F" w:rsidRPr="00CE5492" w:rsidP="00C13D6C">
            <w:pPr>
              <w:spacing w:before="0" w:after="0"/>
              <w:jc w:val="right"/>
              <w:rPr>
                <w:sz w:val="20"/>
                <w:szCs w:val="20"/>
              </w:rPr>
            </w:pPr>
            <w:r w:rsidR="004E597F">
              <w:rPr>
                <w:noProof/>
                <w:sz w:val="20"/>
                <w:szCs w:val="20"/>
              </w:rPr>
              <w:t>0</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p>
        </w:tc>
      </w:tr>
      <w:tr w:rsidTr="00376681">
        <w:tblPrEx>
          <w:tblW w:w="5000" w:type="pct"/>
          <w:tblInd w:w="108" w:type="dxa"/>
          <w:tblLook w:val="04A0"/>
        </w:tblPrEx>
        <w:trPr>
          <w:trHeight w:val="207"/>
        </w:trPr>
        <w:tc>
          <w:tcPr>
            <w:shd w:val="clear" w:color="auto" w:fill="auto"/>
          </w:tcPr>
          <w:p w:rsidR="0084560F" w:rsidP="00C13D6C">
            <w:pPr>
              <w:spacing w:before="0" w:after="0"/>
              <w:jc w:val="left"/>
              <w:rPr>
                <w:sz w:val="20"/>
                <w:szCs w:val="20"/>
              </w:rPr>
            </w:pPr>
            <w:r>
              <w:rPr>
                <w:noProof/>
                <w:sz w:val="20"/>
                <w:szCs w:val="20"/>
              </w:rPr>
              <w:t>Relocalisation (2015/1523)</w:t>
            </w:r>
          </w:p>
        </w:tc>
        <w:tc>
          <w:tcPr/>
          <w:p w:rsidR="0084560F" w:rsidRPr="00CE5492" w:rsidP="00C13D6C">
            <w:pPr>
              <w:spacing w:before="0" w:after="0"/>
              <w:jc w:val="left"/>
              <w:rPr>
                <w:sz w:val="20"/>
                <w:szCs w:val="20"/>
              </w:rPr>
            </w:pPr>
            <w:r>
              <w:rPr>
                <w:noProof/>
                <w:sz w:val="20"/>
                <w:szCs w:val="20"/>
              </w:rPr>
              <w:t>Grèce</w:t>
            </w:r>
          </w:p>
        </w:tc>
        <w:tc>
          <w:tcPr/>
          <w:p w:rsidR="0084560F" w:rsidRPr="00CE5492" w:rsidP="00C13D6C">
            <w:pPr>
              <w:spacing w:before="0" w:after="0"/>
              <w:jc w:val="left"/>
              <w:rPr>
                <w:sz w:val="20"/>
                <w:szCs w:val="20"/>
              </w:rPr>
            </w:pPr>
            <w:r>
              <w:rPr>
                <w:noProof/>
                <w:sz w:val="20"/>
                <w:szCs w:val="20"/>
              </w:rPr>
              <w:t>Belgique</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sidR="004E597F">
              <w:rPr>
                <w:noProof/>
                <w:sz w:val="20"/>
                <w:szCs w:val="20"/>
              </w:rPr>
              <w:t>538</w:t>
            </w:r>
          </w:p>
        </w:tc>
        <w:tc>
          <w:tcPr>
            <w:shd w:val="clear" w:color="auto" w:fill="auto"/>
          </w:tcPr>
          <w:p w:rsidR="0084560F" w:rsidRPr="00CE5492" w:rsidP="00C13D6C">
            <w:pPr>
              <w:spacing w:before="0" w:after="0"/>
              <w:jc w:val="right"/>
              <w:rPr>
                <w:sz w:val="20"/>
                <w:szCs w:val="20"/>
              </w:rPr>
            </w:pPr>
          </w:p>
        </w:tc>
      </w:tr>
      <w:tr w:rsidTr="00376681">
        <w:tblPrEx>
          <w:tblW w:w="5000" w:type="pct"/>
          <w:tblInd w:w="108" w:type="dxa"/>
          <w:tblLook w:val="04A0"/>
        </w:tblPrEx>
        <w:trPr>
          <w:trHeight w:val="207"/>
        </w:trPr>
        <w:tc>
          <w:tcPr>
            <w:shd w:val="clear" w:color="auto" w:fill="auto"/>
          </w:tcPr>
          <w:p w:rsidR="0084560F" w:rsidP="00C13D6C">
            <w:pPr>
              <w:spacing w:before="0" w:after="0"/>
              <w:jc w:val="left"/>
              <w:rPr>
                <w:sz w:val="20"/>
                <w:szCs w:val="20"/>
              </w:rPr>
            </w:pPr>
            <w:r>
              <w:rPr>
                <w:noProof/>
                <w:sz w:val="20"/>
                <w:szCs w:val="20"/>
              </w:rPr>
              <w:t>Relocalisation (2015/1523)</w:t>
            </w:r>
          </w:p>
        </w:tc>
        <w:tc>
          <w:tcPr/>
          <w:p w:rsidR="0084560F" w:rsidRPr="00CE5492" w:rsidP="00C13D6C">
            <w:pPr>
              <w:spacing w:before="0" w:after="0"/>
              <w:jc w:val="left"/>
              <w:rPr>
                <w:sz w:val="20"/>
                <w:szCs w:val="20"/>
              </w:rPr>
            </w:pPr>
            <w:r>
              <w:rPr>
                <w:noProof/>
                <w:sz w:val="20"/>
                <w:szCs w:val="20"/>
              </w:rPr>
              <w:t>Italie</w:t>
            </w:r>
          </w:p>
        </w:tc>
        <w:tc>
          <w:tcPr/>
          <w:p w:rsidR="0084560F" w:rsidRPr="00CE5492" w:rsidP="00C13D6C">
            <w:pPr>
              <w:spacing w:before="0" w:after="0"/>
              <w:jc w:val="left"/>
              <w:rPr>
                <w:sz w:val="20"/>
                <w:szCs w:val="20"/>
              </w:rPr>
            </w:pPr>
            <w:r>
              <w:rPr>
                <w:noProof/>
                <w:sz w:val="20"/>
                <w:szCs w:val="20"/>
              </w:rPr>
              <w:t>Belgique</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sidR="004E597F">
              <w:rPr>
                <w:noProof/>
                <w:sz w:val="20"/>
                <w:szCs w:val="20"/>
              </w:rPr>
              <w:t>808</w:t>
            </w:r>
          </w:p>
        </w:tc>
        <w:tc>
          <w:tcPr>
            <w:shd w:val="clear" w:color="auto" w:fill="auto"/>
          </w:tcPr>
          <w:p w:rsidR="0084560F" w:rsidRPr="00CE5492" w:rsidP="00C13D6C">
            <w:pPr>
              <w:spacing w:before="0" w:after="0"/>
              <w:jc w:val="right"/>
              <w:rPr>
                <w:sz w:val="20"/>
                <w:szCs w:val="20"/>
              </w:rPr>
            </w:pPr>
            <w:r w:rsidR="004E597F">
              <w:rPr>
                <w:noProof/>
                <w:sz w:val="20"/>
                <w:szCs w:val="20"/>
              </w:rPr>
              <w:t>-756</w:t>
            </w:r>
          </w:p>
        </w:tc>
      </w:tr>
      <w:tr w:rsidTr="00376681">
        <w:tblPrEx>
          <w:tblW w:w="5000" w:type="pct"/>
          <w:tblInd w:w="108" w:type="dxa"/>
          <w:tblLook w:val="04A0"/>
        </w:tblPrEx>
        <w:trPr>
          <w:trHeight w:val="207"/>
        </w:trPr>
        <w:tc>
          <w:tcPr>
            <w:shd w:val="clear" w:color="auto" w:fill="auto"/>
          </w:tcPr>
          <w:p w:rsidR="0084560F" w:rsidP="00C13D6C">
            <w:pPr>
              <w:spacing w:before="0" w:after="0"/>
              <w:jc w:val="left"/>
              <w:rPr>
                <w:sz w:val="20"/>
                <w:szCs w:val="20"/>
              </w:rPr>
            </w:pPr>
            <w:r>
              <w:rPr>
                <w:noProof/>
                <w:sz w:val="20"/>
                <w:szCs w:val="20"/>
              </w:rPr>
              <w:t>Relocalisation (2015/1601)</w:t>
            </w:r>
          </w:p>
        </w:tc>
        <w:tc>
          <w:tcPr/>
          <w:p w:rsidR="0084560F" w:rsidRPr="00CE5492" w:rsidP="00C13D6C">
            <w:pPr>
              <w:spacing w:before="0" w:after="0"/>
              <w:jc w:val="left"/>
              <w:rPr>
                <w:sz w:val="20"/>
                <w:szCs w:val="20"/>
              </w:rPr>
            </w:pPr>
            <w:r>
              <w:rPr>
                <w:noProof/>
                <w:sz w:val="20"/>
                <w:szCs w:val="20"/>
              </w:rPr>
              <w:t>Grèce</w:t>
            </w:r>
          </w:p>
        </w:tc>
        <w:tc>
          <w:tcPr/>
          <w:p w:rsidR="0084560F" w:rsidRPr="00CE5492" w:rsidP="00C13D6C">
            <w:pPr>
              <w:spacing w:before="0" w:after="0"/>
              <w:jc w:val="left"/>
              <w:rPr>
                <w:sz w:val="20"/>
                <w:szCs w:val="20"/>
              </w:rPr>
            </w:pPr>
            <w:r>
              <w:rPr>
                <w:noProof/>
                <w:sz w:val="20"/>
                <w:szCs w:val="20"/>
              </w:rPr>
              <w:t>Belgique</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sidR="004E597F">
              <w:rPr>
                <w:noProof/>
                <w:sz w:val="20"/>
                <w:szCs w:val="20"/>
              </w:rPr>
              <w:t>1 869</w:t>
            </w:r>
          </w:p>
        </w:tc>
        <w:tc>
          <w:tcPr>
            <w:shd w:val="clear" w:color="auto" w:fill="auto"/>
          </w:tcPr>
          <w:p w:rsidR="0084560F" w:rsidRPr="00CE5492" w:rsidP="00C13D6C">
            <w:pPr>
              <w:spacing w:before="0" w:after="0"/>
              <w:jc w:val="right"/>
              <w:rPr>
                <w:sz w:val="20"/>
                <w:szCs w:val="20"/>
              </w:rPr>
            </w:pPr>
            <w:r w:rsidR="004E597F">
              <w:rPr>
                <w:noProof/>
                <w:sz w:val="20"/>
                <w:szCs w:val="20"/>
              </w:rPr>
              <w:t>-1 711</w:t>
            </w:r>
          </w:p>
        </w:tc>
      </w:tr>
      <w:tr w:rsidTr="00376681">
        <w:tblPrEx>
          <w:tblW w:w="5000" w:type="pct"/>
          <w:tblInd w:w="108" w:type="dxa"/>
          <w:tblLook w:val="04A0"/>
        </w:tblPrEx>
        <w:trPr>
          <w:trHeight w:val="207"/>
        </w:trPr>
        <w:tc>
          <w:tcPr>
            <w:shd w:val="clear" w:color="auto" w:fill="auto"/>
          </w:tcPr>
          <w:p w:rsidR="0084560F" w:rsidP="00C13D6C">
            <w:pPr>
              <w:spacing w:before="0" w:after="0"/>
              <w:jc w:val="left"/>
              <w:rPr>
                <w:sz w:val="20"/>
                <w:szCs w:val="20"/>
              </w:rPr>
            </w:pPr>
            <w:r>
              <w:rPr>
                <w:noProof/>
                <w:sz w:val="20"/>
                <w:szCs w:val="20"/>
              </w:rPr>
              <w:t>Relocalisation (2015/1601)</w:t>
            </w:r>
          </w:p>
        </w:tc>
        <w:tc>
          <w:tcPr/>
          <w:p w:rsidR="0084560F" w:rsidRPr="00CE5492" w:rsidP="00C13D6C">
            <w:pPr>
              <w:spacing w:before="0" w:after="0"/>
              <w:jc w:val="left"/>
              <w:rPr>
                <w:sz w:val="20"/>
                <w:szCs w:val="20"/>
              </w:rPr>
            </w:pPr>
            <w:r>
              <w:rPr>
                <w:noProof/>
                <w:sz w:val="20"/>
                <w:szCs w:val="20"/>
              </w:rPr>
              <w:t>Italie</w:t>
            </w:r>
          </w:p>
        </w:tc>
        <w:tc>
          <w:tcPr/>
          <w:p w:rsidR="0084560F" w:rsidRPr="00CE5492" w:rsidP="00C13D6C">
            <w:pPr>
              <w:spacing w:before="0" w:after="0"/>
              <w:jc w:val="left"/>
              <w:rPr>
                <w:sz w:val="20"/>
                <w:szCs w:val="20"/>
              </w:rPr>
            </w:pPr>
            <w:r>
              <w:rPr>
                <w:noProof/>
                <w:sz w:val="20"/>
                <w:szCs w:val="20"/>
              </w:rPr>
              <w:t>Belgique</w:t>
            </w:r>
          </w:p>
        </w:tc>
        <w:tc>
          <w:tcPr>
            <w:shd w:val="clear" w:color="auto" w:fill="auto"/>
          </w:tcPr>
          <w:p w:rsidR="0084560F" w:rsidRPr="00CE5492" w:rsidP="00C13D6C">
            <w:pPr>
              <w:spacing w:before="0" w:after="0"/>
              <w:jc w:val="right"/>
              <w:rPr>
                <w:sz w:val="20"/>
                <w:szCs w:val="20"/>
              </w:rPr>
            </w:pPr>
          </w:p>
        </w:tc>
        <w:tc>
          <w:tcPr>
            <w:shd w:val="clear" w:color="auto" w:fill="auto"/>
          </w:tcPr>
          <w:p w:rsidR="0084560F" w:rsidRPr="00CE5492" w:rsidP="00C13D6C">
            <w:pPr>
              <w:spacing w:before="0" w:after="0"/>
              <w:jc w:val="right"/>
              <w:rPr>
                <w:sz w:val="20"/>
                <w:szCs w:val="20"/>
              </w:rPr>
            </w:pPr>
            <w:r w:rsidR="004E597F">
              <w:rPr>
                <w:noProof/>
                <w:sz w:val="20"/>
                <w:szCs w:val="20"/>
              </w:rPr>
              <w:t>579</w:t>
            </w:r>
          </w:p>
        </w:tc>
        <w:tc>
          <w:tcPr>
            <w:shd w:val="clear" w:color="auto" w:fill="auto"/>
          </w:tcPr>
          <w:p w:rsidR="0084560F" w:rsidRPr="00CE5492" w:rsidP="00C13D6C">
            <w:pPr>
              <w:spacing w:before="0" w:after="0"/>
              <w:jc w:val="right"/>
              <w:rPr>
                <w:sz w:val="20"/>
                <w:szCs w:val="20"/>
              </w:rPr>
            </w:pPr>
            <w:r w:rsidR="004E597F">
              <w:rPr>
                <w:noProof/>
                <w:sz w:val="20"/>
                <w:szCs w:val="20"/>
              </w:rPr>
              <w:t>-161</w:t>
            </w:r>
          </w:p>
        </w:tc>
      </w:tr>
    </w:tbl>
    <w:p w:rsidR="0084560F" w:rsidP="00C13D6C">
      <w:pPr>
        <w:spacing w:before="0" w:after="0"/>
        <w:rPr>
          <w:b/>
          <w:u w:val="single"/>
        </w:rPr>
      </w:pPr>
    </w:p>
    <w:p w:rsidR="0084560F" w:rsidP="00C13D6C">
      <w:pPr>
        <w:pStyle w:val="Heading2"/>
        <w:numPr>
          <w:ilvl w:val="0"/>
          <w:numId w:val="0"/>
        </w:numPr>
        <w:spacing w:before="0" w:after="0"/>
      </w:pPr>
      <w:r>
        <w:br w:type="page"/>
      </w:r>
      <w:bookmarkStart w:id="142" w:name="_Toc256000017"/>
      <w:bookmarkStart w:id="143" w:name="_Toc256000075"/>
      <w:bookmarkStart w:id="144" w:name="_Toc256000133"/>
      <w:bookmarkStart w:id="145" w:name="_Toc256000191"/>
      <w:r w:rsidRPr="004123E4">
        <w:rPr>
          <w:noProof/>
        </w:rPr>
        <w:t>4.3 Admission depuis la Turquie (2016/1754)</w:t>
      </w:r>
      <w:bookmarkEnd w:id="145"/>
      <w:bookmarkEnd w:id="144"/>
      <w:bookmarkEnd w:id="143"/>
      <w:bookmarkEnd w:id="142"/>
    </w:p>
    <w:p w:rsidR="0084560F" w:rsidP="00C13D6C">
      <w:pPr>
        <w:spacing w:before="0" w:after="0"/>
        <w:rPr>
          <w:b/>
        </w:rPr>
      </w:pPr>
    </w:p>
    <w:p w:rsidR="0084560F" w:rsidRPr="004123E4" w:rsidP="00C13D6C">
      <w:pPr>
        <w:spacing w:before="0" w:after="0"/>
      </w:pPr>
      <w:r w:rsidRPr="004123E4">
        <w:rPr>
          <w:noProof/>
        </w:rPr>
        <w:t>Plan d'engagement: Nombre de personnes devant être admises depuis la Turquie par période d'engagement</w:t>
      </w:r>
    </w:p>
    <w:p w:rsidR="0084560F" w:rsidP="00C13D6C">
      <w:pPr>
        <w:spacing w:before="0" w:after="0"/>
        <w:rPr>
          <w:b/>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2235"/>
        <w:gridCol w:w="2235"/>
        <w:gridCol w:w="2235"/>
      </w:tblGrid>
      <w:tr w:rsidTr="00376681">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4560F" w:rsidRPr="00A307FD" w:rsidP="00C13D6C">
            <w:pPr>
              <w:spacing w:before="0" w:after="0"/>
              <w:rPr>
                <w:b/>
              </w:rPr>
            </w:pPr>
          </w:p>
        </w:tc>
        <w:tc>
          <w:tcPr>
            <w:shd w:val="clear" w:color="auto" w:fill="auto"/>
          </w:tcPr>
          <w:p w:rsidR="0084560F" w:rsidRPr="00A307FD" w:rsidP="00C13D6C">
            <w:pPr>
              <w:spacing w:before="0" w:after="0"/>
              <w:jc w:val="center"/>
              <w:rPr>
                <w:b/>
              </w:rPr>
            </w:pPr>
            <w:r w:rsidRPr="00A307FD">
              <w:rPr>
                <w:b/>
              </w:rPr>
              <w:t>2014-2015</w:t>
            </w:r>
          </w:p>
        </w:tc>
        <w:tc>
          <w:tcPr>
            <w:shd w:val="clear" w:color="auto" w:fill="auto"/>
          </w:tcPr>
          <w:p w:rsidR="0084560F" w:rsidRPr="00A307FD" w:rsidP="00C13D6C">
            <w:pPr>
              <w:spacing w:before="0" w:after="0"/>
              <w:jc w:val="center"/>
              <w:rPr>
                <w:b/>
              </w:rPr>
            </w:pPr>
            <w:r w:rsidRPr="00A307FD">
              <w:rPr>
                <w:b/>
              </w:rPr>
              <w:t>2016-2017</w:t>
            </w:r>
          </w:p>
        </w:tc>
        <w:tc>
          <w:tcPr>
            <w:shd w:val="clear" w:color="auto" w:fill="auto"/>
          </w:tcPr>
          <w:p w:rsidR="0084560F" w:rsidRPr="00A307FD" w:rsidP="00C13D6C">
            <w:pPr>
              <w:spacing w:before="0" w:after="0"/>
              <w:jc w:val="center"/>
              <w:rPr>
                <w:b/>
              </w:rPr>
            </w:pPr>
            <w:r w:rsidRPr="00A307FD">
              <w:rPr>
                <w:b/>
              </w:rPr>
              <w:t>2018-2020</w:t>
            </w:r>
          </w:p>
        </w:tc>
      </w:tr>
      <w:tr w:rsidTr="00376681">
        <w:tblPrEx>
          <w:tblW w:w="5000" w:type="pct"/>
          <w:tblInd w:w="108" w:type="dxa"/>
          <w:tblLook w:val="04A0"/>
        </w:tblPrEx>
        <w:tc>
          <w:tcPr>
            <w:shd w:val="clear" w:color="auto" w:fill="auto"/>
          </w:tcPr>
          <w:p w:rsidR="0084560F" w:rsidRPr="00454E4B" w:rsidP="00C13D6C">
            <w:pPr>
              <w:spacing w:before="0" w:after="0"/>
            </w:pPr>
            <w:r>
              <w:fldChar w:fldCharType="begin"/>
            </w:r>
            <w:r>
              <w:instrText xml:space="preserve"> REF  m_admission </w:instrText>
            </w:r>
            <w:r>
              <w:fldChar w:fldCharType="separate"/>
            </w:r>
            <w:r>
              <w:rPr>
                <w:noProof/>
              </w:rPr>
              <w:t>Admission</w:t>
            </w:r>
            <w:r>
              <w:fldChar w:fldCharType="end"/>
            </w:r>
          </w:p>
        </w:tc>
        <w:tc>
          <w:tcPr>
            <w:shd w:val="clear" w:color="auto" w:fill="auto"/>
          </w:tcPr>
          <w:p w:rsidR="0084560F" w:rsidRPr="00454E4B" w:rsidP="00C13D6C">
            <w:pPr>
              <w:spacing w:before="0" w:after="0"/>
              <w:jc w:val="right"/>
            </w:pPr>
          </w:p>
        </w:tc>
        <w:tc>
          <w:tcPr>
            <w:shd w:val="clear" w:color="auto" w:fill="auto"/>
          </w:tcPr>
          <w:p w:rsidR="0084560F" w:rsidRPr="00454E4B" w:rsidP="00C13D6C">
            <w:pPr>
              <w:spacing w:before="0" w:after="0"/>
              <w:jc w:val="right"/>
            </w:pPr>
            <w:r>
              <w:rPr>
                <w:noProof/>
              </w:rPr>
              <w:t>1 968</w:t>
            </w:r>
          </w:p>
        </w:tc>
        <w:tc>
          <w:tcPr>
            <w:shd w:val="clear" w:color="auto" w:fill="auto"/>
          </w:tcPr>
          <w:p w:rsidR="0084560F" w:rsidRPr="00454E4B" w:rsidP="00C13D6C">
            <w:pPr>
              <w:spacing w:before="0" w:after="0"/>
              <w:jc w:val="right"/>
            </w:pPr>
            <w:r>
              <w:rPr>
                <w:noProof/>
              </w:rPr>
              <w:t>-376</w:t>
            </w:r>
          </w:p>
        </w:tc>
      </w:tr>
    </w:tbl>
    <w:p w:rsidR="0084560F" w:rsidRPr="004123E4" w:rsidP="00C13D6C">
      <w:pPr>
        <w:spacing w:before="0" w:after="0"/>
        <w:rPr>
          <w:b/>
        </w:rPr>
      </w:pPr>
    </w:p>
    <w:p w:rsidR="0084560F" w:rsidP="00C13D6C">
      <w:pPr>
        <w:spacing w:before="0" w:after="0"/>
        <w:rPr>
          <w:b/>
          <w:u w:val="single"/>
        </w:rPr>
        <w:sectPr w:rsidSect="00376681">
          <w:pgSz w:w="11906" w:h="16838" w:code="9"/>
          <w:pgMar w:top="1134" w:right="1418" w:bottom="1134" w:left="1418" w:header="567" w:footer="567" w:gutter="0"/>
          <w:cols w:space="708"/>
          <w:docGrid w:linePitch="360"/>
        </w:sectPr>
      </w:pPr>
    </w:p>
    <w:p w:rsidR="0084560F" w:rsidRPr="00AC1A22" w:rsidP="00C13D6C">
      <w:pPr>
        <w:pStyle w:val="Heading1"/>
        <w:numPr>
          <w:ilvl w:val="0"/>
          <w:numId w:val="0"/>
        </w:numPr>
        <w:spacing w:before="0" w:after="0"/>
      </w:pPr>
      <w:bookmarkStart w:id="146" w:name="_Toc256000018"/>
      <w:bookmarkStart w:id="147" w:name="_Toc256000076"/>
      <w:bookmarkStart w:id="148" w:name="_Toc256000134"/>
      <w:bookmarkStart w:id="149" w:name="_Toc256000192"/>
      <w:r>
        <w:rPr>
          <w:noProof/>
        </w:rPr>
        <w:t>5. INDICATEURS COMMUNS ET INDICATEURS SPÉCIFIQUES AU PROGRAMME</w:t>
      </w:r>
      <w:bookmarkEnd w:id="149"/>
      <w:bookmarkEnd w:id="148"/>
      <w:bookmarkEnd w:id="147"/>
      <w:bookmarkEnd w:id="146"/>
    </w:p>
    <w:p w:rsidR="0084560F" w:rsidP="00C13D6C">
      <w:pPr>
        <w:spacing w:before="0" w:after="0"/>
      </w:pPr>
    </w:p>
    <w:p w:rsidR="0084560F" w:rsidP="00C13D6C">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725"/>
        <w:gridCol w:w="380"/>
        <w:gridCol w:w="380"/>
        <w:gridCol w:w="875"/>
        <w:gridCol w:w="707"/>
        <w:gridCol w:w="982"/>
      </w:tblGrid>
      <w:tr w:rsidTr="003766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blHeader/>
        </w:trPr>
        <w:tc>
          <w:tcPr>
            <w:gridSpan w:val="2"/>
            <w:shd w:val="clear" w:color="auto" w:fill="auto"/>
          </w:tcPr>
          <w:p w:rsidR="0084560F" w:rsidRPr="007D22A3" w:rsidP="00C13D6C">
            <w:pPr>
              <w:spacing w:before="0" w:after="0"/>
              <w:rPr>
                <w:b/>
                <w:sz w:val="16"/>
                <w:szCs w:val="16"/>
              </w:rPr>
            </w:pPr>
            <w:r w:rsidRPr="007D22A3">
              <w:rPr>
                <w:b/>
                <w:noProof/>
                <w:sz w:val="16"/>
                <w:szCs w:val="16"/>
              </w:rPr>
              <w:t>Objectif spécifique</w:t>
            </w:r>
          </w:p>
        </w:tc>
        <w:tc>
          <w:tcPr>
            <w:gridSpan w:val="4"/>
            <w:shd w:val="clear" w:color="auto" w:fill="auto"/>
          </w:tcPr>
          <w:p w:rsidR="0084560F" w:rsidRPr="007D22A3"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Asile</w:t>
            </w:r>
          </w:p>
        </w:tc>
      </w:tr>
      <w:tr w:rsidTr="00376681">
        <w:tblPrEx>
          <w:tblW w:w="5000" w:type="pct"/>
          <w:tblLook w:val="0420"/>
        </w:tblPrEx>
        <w:trPr>
          <w:tblHeader/>
        </w:trPr>
        <w:tc>
          <w:tcPr>
            <w:shd w:val="clear" w:color="auto" w:fill="auto"/>
          </w:tcPr>
          <w:p w:rsidR="0084560F" w:rsidRPr="007D22A3" w:rsidP="00C13D6C">
            <w:pPr>
              <w:spacing w:before="0" w:after="0"/>
              <w:rPr>
                <w:b/>
                <w:sz w:val="16"/>
                <w:szCs w:val="16"/>
              </w:rPr>
            </w:pPr>
            <w:r w:rsidRPr="007D22A3">
              <w:rPr>
                <w:b/>
                <w:noProof/>
                <w:sz w:val="16"/>
                <w:szCs w:val="16"/>
              </w:rPr>
              <w:t>Indicateur</w:t>
            </w:r>
          </w:p>
        </w:tc>
        <w:tc>
          <w:tcPr>
            <w:gridSpan w:val="2"/>
            <w:shd w:val="clear" w:color="auto" w:fill="auto"/>
          </w:tcPr>
          <w:p w:rsidR="0084560F" w:rsidRPr="007D22A3" w:rsidP="00C13D6C">
            <w:pPr>
              <w:spacing w:before="0" w:after="0"/>
              <w:jc w:val="left"/>
              <w:rPr>
                <w:b/>
                <w:sz w:val="16"/>
                <w:szCs w:val="16"/>
              </w:rPr>
            </w:pPr>
            <w:r w:rsidRPr="007D22A3">
              <w:rPr>
                <w:b/>
                <w:noProof/>
                <w:sz w:val="16"/>
                <w:szCs w:val="16"/>
              </w:rPr>
              <w:t>Unité de mesure</w:t>
            </w:r>
          </w:p>
        </w:tc>
        <w:tc>
          <w:tcPr>
            <w:shd w:val="clear" w:color="auto" w:fill="auto"/>
          </w:tcPr>
          <w:p w:rsidR="0084560F" w:rsidRPr="007D22A3" w:rsidP="00C13D6C">
            <w:pPr>
              <w:spacing w:before="0" w:after="0"/>
              <w:rPr>
                <w:b/>
                <w:sz w:val="16"/>
                <w:szCs w:val="16"/>
              </w:rPr>
            </w:pPr>
            <w:r w:rsidRPr="007D22A3">
              <w:rPr>
                <w:b/>
                <w:noProof/>
                <w:sz w:val="16"/>
                <w:szCs w:val="16"/>
              </w:rPr>
              <w:t>Valeur de référence</w:t>
            </w:r>
          </w:p>
        </w:tc>
        <w:tc>
          <w:tcPr>
            <w:shd w:val="clear" w:color="auto" w:fill="auto"/>
          </w:tcPr>
          <w:p w:rsidR="0084560F" w:rsidRPr="007D22A3" w:rsidP="00C13D6C">
            <w:pPr>
              <w:spacing w:before="0" w:after="0"/>
              <w:rPr>
                <w:b/>
                <w:sz w:val="16"/>
                <w:szCs w:val="16"/>
              </w:rPr>
            </w:pPr>
            <w:r w:rsidRPr="007D22A3">
              <w:rPr>
                <w:b/>
                <w:noProof/>
                <w:sz w:val="16"/>
                <w:szCs w:val="16"/>
              </w:rPr>
              <w:t>Valeur cible</w:t>
            </w:r>
          </w:p>
        </w:tc>
        <w:tc>
          <w:tcPr>
            <w:shd w:val="clear" w:color="auto" w:fill="auto"/>
          </w:tcPr>
          <w:p w:rsidR="0084560F" w:rsidRPr="007D22A3" w:rsidP="00C13D6C">
            <w:pPr>
              <w:spacing w:before="0" w:after="0"/>
              <w:rPr>
                <w:b/>
                <w:sz w:val="16"/>
                <w:szCs w:val="16"/>
              </w:rPr>
            </w:pPr>
            <w:r w:rsidRPr="007D22A3">
              <w:rPr>
                <w:b/>
                <w:noProof/>
                <w:sz w:val="16"/>
                <w:szCs w:val="16"/>
              </w:rPr>
              <w:t>Source des données</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Nombre de personnes de groupes cibles ayant bénéficié d'une aide dans le cadre de projets dans le domaine des régimes d'accueil et d'asile soutenus par le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7 450,00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Capacité (nombre de places) des nouvelles infrastructures d'hébergement à des fins d'accueil créées pour répondre aux exigences minimales en matière de conditions d'accueil établies dans l'acquis de l'UE et des infrastructures d'hébergement à des fins d'accueil existantes améliorées conformément à ces exigences à la suite des projets soutenus par le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Pourcentage de la capacité totale d'hébergement à des fins d'accueil</w:t>
            </w:r>
          </w:p>
        </w:tc>
        <w:tc>
          <w:tcPr>
            <w:gridSpan w:val="2"/>
            <w:shd w:val="clear" w:color="auto" w:fill="auto"/>
          </w:tcPr>
          <w:p w:rsidR="0084560F" w:rsidRPr="007D22A3" w:rsidP="00C13D6C">
            <w:pPr>
              <w:spacing w:before="0" w:after="0"/>
              <w:jc w:val="left"/>
              <w:rPr>
                <w:sz w:val="16"/>
                <w:szCs w:val="16"/>
              </w:rPr>
            </w:pPr>
            <w:r>
              <w:rPr>
                <w:noProof/>
                <w:sz w:val="16"/>
                <w:szCs w:val="16"/>
              </w:rPr>
              <w:t>%</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Nombre de personnes formées aux questions liées à l'asile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2 000,00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Nombre, en pourcentage de l'effectif total, de membres du personnel formés à ces questions</w:t>
            </w:r>
          </w:p>
        </w:tc>
        <w:tc>
          <w:tcPr>
            <w:gridSpan w:val="2"/>
            <w:shd w:val="clear" w:color="auto" w:fill="auto"/>
          </w:tcPr>
          <w:p w:rsidR="0084560F" w:rsidRPr="007D22A3" w:rsidP="00C13D6C">
            <w:pPr>
              <w:spacing w:before="0" w:after="0"/>
              <w:jc w:val="left"/>
              <w:rPr>
                <w:sz w:val="16"/>
                <w:szCs w:val="16"/>
              </w:rPr>
            </w:pPr>
            <w:r>
              <w:rPr>
                <w:noProof/>
                <w:sz w:val="16"/>
                <w:szCs w:val="16"/>
              </w:rPr>
              <w:t>%</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75,00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Nombre de produits d'information sur les pays d'origine et de missions d'enquête réalisés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25,00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Nombre de projets soutenus par le Fonds pour développer, suivre et évaluer les politiques d'asile dans les États membres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20,00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Nombre de personnes réinstallées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1 450,00</w:t>
            </w:r>
          </w:p>
        </w:tc>
        <w:tc>
          <w:tcPr>
            <w:shd w:val="clear" w:color="auto" w:fill="auto"/>
          </w:tcPr>
          <w:p w:rsidR="0084560F" w:rsidRPr="007D22A3" w:rsidP="00C13D6C">
            <w:pPr>
              <w:spacing w:before="0" w:after="0"/>
              <w:rPr>
                <w:sz w:val="16"/>
                <w:szCs w:val="16"/>
              </w:rPr>
            </w:pPr>
            <w:r w:rsidRPr="007D22A3">
              <w:rPr>
                <w:noProof/>
                <w:sz w:val="16"/>
                <w:szCs w:val="16"/>
                <w:lang w:val="fr-BE"/>
              </w:rPr>
              <w:t>Authority in charge of transferring the persons</w:t>
            </w:r>
          </w:p>
        </w:tc>
      </w:tr>
    </w:tbl>
    <w:p w:rsidR="0084560F" w:rsidP="00C13D6C">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885"/>
        <w:gridCol w:w="380"/>
        <w:gridCol w:w="380"/>
        <w:gridCol w:w="875"/>
        <w:gridCol w:w="707"/>
        <w:gridCol w:w="822"/>
      </w:tblGrid>
      <w:tr w:rsidTr="003766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blHeader/>
        </w:trPr>
        <w:tc>
          <w:tcPr>
            <w:gridSpan w:val="2"/>
            <w:shd w:val="clear" w:color="auto" w:fill="auto"/>
          </w:tcPr>
          <w:p w:rsidR="0084560F" w:rsidRPr="007D22A3" w:rsidP="00C13D6C">
            <w:pPr>
              <w:spacing w:before="0" w:after="0"/>
              <w:rPr>
                <w:b/>
                <w:sz w:val="16"/>
                <w:szCs w:val="16"/>
              </w:rPr>
            </w:pPr>
            <w:r w:rsidRPr="007D22A3">
              <w:rPr>
                <w:b/>
                <w:noProof/>
                <w:sz w:val="16"/>
                <w:szCs w:val="16"/>
              </w:rPr>
              <w:t>Objectif spécifique</w:t>
            </w:r>
          </w:p>
        </w:tc>
        <w:tc>
          <w:tcPr>
            <w:gridSpan w:val="4"/>
            <w:shd w:val="clear" w:color="auto" w:fill="auto"/>
          </w:tcPr>
          <w:p w:rsidR="0084560F" w:rsidRPr="007D22A3"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Intégration/migration légale</w:t>
            </w:r>
          </w:p>
        </w:tc>
      </w:tr>
      <w:tr w:rsidTr="00376681">
        <w:tblPrEx>
          <w:tblW w:w="5000" w:type="pct"/>
          <w:tblLook w:val="0420"/>
        </w:tblPrEx>
        <w:trPr>
          <w:tblHeader/>
        </w:trPr>
        <w:tc>
          <w:tcPr>
            <w:shd w:val="clear" w:color="auto" w:fill="auto"/>
          </w:tcPr>
          <w:p w:rsidR="0084560F" w:rsidRPr="007D22A3" w:rsidP="00C13D6C">
            <w:pPr>
              <w:spacing w:before="0" w:after="0"/>
              <w:rPr>
                <w:b/>
                <w:sz w:val="16"/>
                <w:szCs w:val="16"/>
              </w:rPr>
            </w:pPr>
            <w:r w:rsidRPr="007D22A3">
              <w:rPr>
                <w:b/>
                <w:noProof/>
                <w:sz w:val="16"/>
                <w:szCs w:val="16"/>
              </w:rPr>
              <w:t>Indicateur</w:t>
            </w:r>
          </w:p>
        </w:tc>
        <w:tc>
          <w:tcPr>
            <w:gridSpan w:val="2"/>
            <w:shd w:val="clear" w:color="auto" w:fill="auto"/>
          </w:tcPr>
          <w:p w:rsidR="0084560F" w:rsidRPr="007D22A3" w:rsidP="00C13D6C">
            <w:pPr>
              <w:spacing w:before="0" w:after="0"/>
              <w:jc w:val="left"/>
              <w:rPr>
                <w:b/>
                <w:sz w:val="16"/>
                <w:szCs w:val="16"/>
              </w:rPr>
            </w:pPr>
            <w:r w:rsidRPr="007D22A3">
              <w:rPr>
                <w:b/>
                <w:noProof/>
                <w:sz w:val="16"/>
                <w:szCs w:val="16"/>
              </w:rPr>
              <w:t>Unité de mesure</w:t>
            </w:r>
          </w:p>
        </w:tc>
        <w:tc>
          <w:tcPr>
            <w:shd w:val="clear" w:color="auto" w:fill="auto"/>
          </w:tcPr>
          <w:p w:rsidR="0084560F" w:rsidRPr="007D22A3" w:rsidP="00C13D6C">
            <w:pPr>
              <w:spacing w:before="0" w:after="0"/>
              <w:rPr>
                <w:b/>
                <w:sz w:val="16"/>
                <w:szCs w:val="16"/>
              </w:rPr>
            </w:pPr>
            <w:r w:rsidRPr="007D22A3">
              <w:rPr>
                <w:b/>
                <w:noProof/>
                <w:sz w:val="16"/>
                <w:szCs w:val="16"/>
              </w:rPr>
              <w:t>Valeur de référence</w:t>
            </w:r>
          </w:p>
        </w:tc>
        <w:tc>
          <w:tcPr>
            <w:shd w:val="clear" w:color="auto" w:fill="auto"/>
          </w:tcPr>
          <w:p w:rsidR="0084560F" w:rsidRPr="007D22A3" w:rsidP="00C13D6C">
            <w:pPr>
              <w:spacing w:before="0" w:after="0"/>
              <w:rPr>
                <w:b/>
                <w:sz w:val="16"/>
                <w:szCs w:val="16"/>
              </w:rPr>
            </w:pPr>
            <w:r w:rsidRPr="007D22A3">
              <w:rPr>
                <w:b/>
                <w:noProof/>
                <w:sz w:val="16"/>
                <w:szCs w:val="16"/>
              </w:rPr>
              <w:t>Valeur cible</w:t>
            </w:r>
          </w:p>
        </w:tc>
        <w:tc>
          <w:tcPr>
            <w:shd w:val="clear" w:color="auto" w:fill="auto"/>
          </w:tcPr>
          <w:p w:rsidR="0084560F" w:rsidRPr="007D22A3" w:rsidP="00C13D6C">
            <w:pPr>
              <w:spacing w:before="0" w:after="0"/>
              <w:rPr>
                <w:b/>
                <w:sz w:val="16"/>
                <w:szCs w:val="16"/>
              </w:rPr>
            </w:pPr>
            <w:r w:rsidRPr="007D22A3">
              <w:rPr>
                <w:b/>
                <w:noProof/>
                <w:sz w:val="16"/>
                <w:szCs w:val="16"/>
              </w:rPr>
              <w:t>Source des données</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Nombre de personnes de groupes cibles ayant bénéficié des mesures mises en œuvre avant le départ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Nombre de personnes de groupes cibles ayant bénéficié d'une aide du Fonds au travers de mesures d'intégration dans le cadre de stratégies nationales, locales ou régionales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13 112,00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Nombre de cadres d'action, de mesures ou d'outils locaux, régionaux ou nationaux en place pour l'intégration de ressortissants de pays tiers et associant la société civile, les communautés de migrants ainsi que tous les autres acteurs concernés, à la suite des mesures soutenues par le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24,00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Nombre de projets d'intégration de ressortissants de pays tiers menés en coopération avec d'autres États membres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Nombre de projets soutenus par le Fonds pour développer, suivre et évaluer les politiques d'intégration dans les États membres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bl>
    <w:p w:rsidR="0084560F" w:rsidP="00C13D6C">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481"/>
        <w:gridCol w:w="432"/>
        <w:gridCol w:w="432"/>
        <w:gridCol w:w="1018"/>
        <w:gridCol w:w="707"/>
        <w:gridCol w:w="979"/>
      </w:tblGrid>
      <w:tr w:rsidTr="003766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blHeader/>
        </w:trPr>
        <w:tc>
          <w:tcPr>
            <w:gridSpan w:val="2"/>
            <w:shd w:val="clear" w:color="auto" w:fill="auto"/>
          </w:tcPr>
          <w:p w:rsidR="0084560F" w:rsidRPr="007D22A3" w:rsidP="00C13D6C">
            <w:pPr>
              <w:spacing w:before="0" w:after="0"/>
              <w:rPr>
                <w:b/>
                <w:sz w:val="16"/>
                <w:szCs w:val="16"/>
              </w:rPr>
            </w:pPr>
            <w:r w:rsidRPr="007D22A3">
              <w:rPr>
                <w:b/>
                <w:noProof/>
                <w:sz w:val="16"/>
                <w:szCs w:val="16"/>
              </w:rPr>
              <w:t>Objectif spécifique</w:t>
            </w:r>
          </w:p>
        </w:tc>
        <w:tc>
          <w:tcPr>
            <w:gridSpan w:val="4"/>
            <w:shd w:val="clear" w:color="auto" w:fill="auto"/>
          </w:tcPr>
          <w:p w:rsidR="0084560F" w:rsidRPr="007D22A3"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Retour</w:t>
            </w:r>
          </w:p>
        </w:tc>
      </w:tr>
      <w:tr w:rsidTr="00376681">
        <w:tblPrEx>
          <w:tblW w:w="5000" w:type="pct"/>
          <w:tblLook w:val="0420"/>
        </w:tblPrEx>
        <w:trPr>
          <w:tblHeader/>
        </w:trPr>
        <w:tc>
          <w:tcPr>
            <w:shd w:val="clear" w:color="auto" w:fill="auto"/>
          </w:tcPr>
          <w:p w:rsidR="0084560F" w:rsidRPr="007D22A3" w:rsidP="00C13D6C">
            <w:pPr>
              <w:spacing w:before="0" w:after="0"/>
              <w:rPr>
                <w:b/>
                <w:sz w:val="16"/>
                <w:szCs w:val="16"/>
              </w:rPr>
            </w:pPr>
            <w:r w:rsidRPr="007D22A3">
              <w:rPr>
                <w:b/>
                <w:noProof/>
                <w:sz w:val="16"/>
                <w:szCs w:val="16"/>
              </w:rPr>
              <w:t>Indicateur</w:t>
            </w:r>
          </w:p>
        </w:tc>
        <w:tc>
          <w:tcPr>
            <w:gridSpan w:val="2"/>
            <w:shd w:val="clear" w:color="auto" w:fill="auto"/>
          </w:tcPr>
          <w:p w:rsidR="0084560F" w:rsidRPr="007D22A3" w:rsidP="00C13D6C">
            <w:pPr>
              <w:spacing w:before="0" w:after="0"/>
              <w:jc w:val="left"/>
              <w:rPr>
                <w:b/>
                <w:sz w:val="16"/>
                <w:szCs w:val="16"/>
              </w:rPr>
            </w:pPr>
            <w:r w:rsidRPr="007D22A3">
              <w:rPr>
                <w:b/>
                <w:noProof/>
                <w:sz w:val="16"/>
                <w:szCs w:val="16"/>
              </w:rPr>
              <w:t>Unité de mesure</w:t>
            </w:r>
          </w:p>
        </w:tc>
        <w:tc>
          <w:tcPr>
            <w:shd w:val="clear" w:color="auto" w:fill="auto"/>
          </w:tcPr>
          <w:p w:rsidR="0084560F" w:rsidRPr="007D22A3" w:rsidP="00C13D6C">
            <w:pPr>
              <w:spacing w:before="0" w:after="0"/>
              <w:rPr>
                <w:b/>
                <w:sz w:val="16"/>
                <w:szCs w:val="16"/>
              </w:rPr>
            </w:pPr>
            <w:r w:rsidRPr="007D22A3">
              <w:rPr>
                <w:b/>
                <w:noProof/>
                <w:sz w:val="16"/>
                <w:szCs w:val="16"/>
              </w:rPr>
              <w:t>Valeur de référence</w:t>
            </w:r>
          </w:p>
        </w:tc>
        <w:tc>
          <w:tcPr>
            <w:shd w:val="clear" w:color="auto" w:fill="auto"/>
          </w:tcPr>
          <w:p w:rsidR="0084560F" w:rsidRPr="007D22A3" w:rsidP="00C13D6C">
            <w:pPr>
              <w:spacing w:before="0" w:after="0"/>
              <w:rPr>
                <w:b/>
                <w:sz w:val="16"/>
                <w:szCs w:val="16"/>
              </w:rPr>
            </w:pPr>
            <w:r w:rsidRPr="007D22A3">
              <w:rPr>
                <w:b/>
                <w:noProof/>
                <w:sz w:val="16"/>
                <w:szCs w:val="16"/>
              </w:rPr>
              <w:t>Valeur cible</w:t>
            </w:r>
          </w:p>
        </w:tc>
        <w:tc>
          <w:tcPr>
            <w:shd w:val="clear" w:color="auto" w:fill="auto"/>
          </w:tcPr>
          <w:p w:rsidR="0084560F" w:rsidRPr="007D22A3" w:rsidP="00C13D6C">
            <w:pPr>
              <w:spacing w:before="0" w:after="0"/>
              <w:rPr>
                <w:b/>
                <w:sz w:val="16"/>
                <w:szCs w:val="16"/>
              </w:rPr>
            </w:pPr>
            <w:r w:rsidRPr="007D22A3">
              <w:rPr>
                <w:b/>
                <w:noProof/>
                <w:sz w:val="16"/>
                <w:szCs w:val="16"/>
              </w:rPr>
              <w:t>Source des données</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Nombre de personnes formées aux questions liées au retour avec le soutien du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7 100,00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Nombre de personnes rapatriées ayant bénéficié avant ou après le retour d'une aide à la réintégration cofinancée par le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7 500,00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Nombre de personnes rapatriées dont le retour a été cofinancé par le Fonds – personnes ayant choisi le retour volontaire</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3 150,00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Nombre de personnes rapatriées dont le retour a été cofinancé par le Fonds –  personnes ayant fait l'objet d'un éloignement</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70,00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Nombre d'opérations d'éloignement cofinancées par le Fonds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r w:rsidTr="00376681">
        <w:tblPrEx>
          <w:tblW w:w="5000" w:type="pct"/>
          <w:tblLook w:val="0420"/>
        </w:tblPrEx>
        <w:tc>
          <w:tcPr>
            <w:shd w:val="clear" w:color="auto" w:fill="auto"/>
          </w:tcPr>
          <w:p w:rsidR="0084560F" w:rsidRPr="007D22A3"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Nombre de projets soutenus par le Fonds pour élaborer, suivre et évaluer les politiques de retour dans les États membres</w:t>
            </w:r>
          </w:p>
        </w:tc>
        <w:tc>
          <w:tcPr>
            <w:gridSpan w:val="2"/>
            <w:shd w:val="clear" w:color="auto" w:fill="auto"/>
          </w:tcPr>
          <w:p w:rsidR="0084560F" w:rsidRPr="007D22A3" w:rsidP="00C13D6C">
            <w:pPr>
              <w:spacing w:before="0" w:after="0"/>
              <w:jc w:val="left"/>
              <w:rPr>
                <w:sz w:val="16"/>
                <w:szCs w:val="16"/>
              </w:rPr>
            </w:pPr>
            <w:r>
              <w:rPr>
                <w:noProof/>
                <w:sz w:val="16"/>
                <w:szCs w:val="16"/>
              </w:rPr>
              <w:t>Nombre</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jc w:val="right"/>
              <w:rPr>
                <w:sz w:val="16"/>
                <w:szCs w:val="16"/>
              </w:rPr>
            </w:pPr>
            <w:r w:rsidRPr="007D22A3">
              <w:rPr>
                <w:noProof/>
                <w:sz w:val="16"/>
                <w:szCs w:val="16"/>
              </w:rPr>
              <w:t>0,00</w:t>
            </w:r>
          </w:p>
        </w:tc>
        <w:tc>
          <w:tcPr>
            <w:shd w:val="clear" w:color="auto" w:fill="auto"/>
          </w:tcPr>
          <w:p w:rsidR="0084560F" w:rsidRPr="007D22A3" w:rsidP="00C13D6C">
            <w:pPr>
              <w:spacing w:before="0" w:after="0"/>
              <w:rPr>
                <w:sz w:val="16"/>
                <w:szCs w:val="16"/>
              </w:rPr>
            </w:pPr>
            <w:r w:rsidRPr="007D22A3">
              <w:rPr>
                <w:noProof/>
                <w:sz w:val="16"/>
                <w:szCs w:val="16"/>
                <w:lang w:val="fr-BE"/>
              </w:rPr>
              <w:t>Project reporting</w:t>
            </w:r>
          </w:p>
        </w:tc>
      </w:tr>
    </w:tbl>
    <w:p>
      <w:pPr>
        <w:sectPr w:rsidSect="00376681">
          <w:pgSz w:w="11906" w:h="16838" w:code="9"/>
          <w:pgMar w:top="1134" w:right="1418" w:bottom="1134" w:left="1418" w:header="567" w:footer="567" w:gutter="0"/>
          <w:cols w:space="708"/>
          <w:docGrid w:linePitch="360"/>
        </w:sectPr>
      </w:pPr>
    </w:p>
    <w:p w:rsidR="0084560F" w:rsidP="00C13D6C">
      <w:pPr>
        <w:pStyle w:val="Heading1"/>
        <w:numPr>
          <w:ilvl w:val="0"/>
          <w:numId w:val="0"/>
        </w:numPr>
        <w:spacing w:before="0" w:after="0"/>
        <w:jc w:val="left"/>
      </w:pPr>
      <w:bookmarkStart w:id="150" w:name="_Toc256000019"/>
      <w:bookmarkStart w:id="151" w:name="_Toc256000077"/>
      <w:bookmarkStart w:id="152" w:name="_Toc256000135"/>
      <w:bookmarkStart w:id="153" w:name="_Toc256000193"/>
      <w:r w:rsidRPr="00EA12D4">
        <w:rPr>
          <w:noProof/>
        </w:rPr>
        <w:t>6. CADRE POUR LA PRÉPARATION ET LA MISE EN ŒUVRE DU PROGRAMME PAR L’ÉTAT MEMBRE</w:t>
      </w:r>
      <w:bookmarkEnd w:id="153"/>
      <w:bookmarkEnd w:id="152"/>
      <w:bookmarkEnd w:id="151"/>
      <w:bookmarkEnd w:id="150"/>
    </w:p>
    <w:p w:rsidR="0084560F" w:rsidRPr="00BE4057" w:rsidP="00C13D6C">
      <w:pPr>
        <w:pStyle w:val="Text1"/>
        <w:spacing w:before="0" w:after="0"/>
        <w:ind w:left="0"/>
      </w:pPr>
    </w:p>
    <w:p w:rsidR="0084560F" w:rsidRPr="006E08BD" w:rsidP="00C13D6C">
      <w:pPr>
        <w:pStyle w:val="Heading2"/>
        <w:numPr>
          <w:ilvl w:val="0"/>
          <w:numId w:val="0"/>
        </w:numPr>
        <w:spacing w:before="0" w:after="0"/>
        <w:jc w:val="left"/>
      </w:pPr>
      <w:bookmarkStart w:id="154" w:name="_Toc256000020"/>
      <w:bookmarkStart w:id="155" w:name="_Toc256000078"/>
      <w:bookmarkStart w:id="156" w:name="_Toc256000136"/>
      <w:bookmarkStart w:id="157" w:name="_Toc256000194"/>
      <w:r w:rsidRPr="006E08BD">
        <w:rPr>
          <w:noProof/>
        </w:rPr>
        <w:t>6.1 Association des partenaires à la préparation du programme</w:t>
      </w:r>
      <w:bookmarkEnd w:id="157"/>
      <w:bookmarkEnd w:id="156"/>
      <w:bookmarkEnd w:id="155"/>
      <w:bookmarkEnd w:id="154"/>
    </w:p>
    <w:p>
      <w:pPr>
        <w:spacing w:before="0" w:after="240"/>
        <w:jc w:val="left"/>
        <w:rPr>
          <w:rFonts w:ascii="Times New Roman" w:eastAsia="Times New Roman" w:hAnsi="Times New Roman" w:cs="Times New Roman"/>
        </w:rPr>
      </w:pPr>
      <w:r>
        <w:rPr>
          <w:rFonts w:ascii="Times New Roman" w:eastAsia="Times New Roman" w:hAnsi="Times New Roman" w:cs="Times New Roman"/>
        </w:rPr>
        <w:t>A questionnaire has been launched in May 2013 towards all key partners concerned, mostly governmental services like Immigration Office, Fedasil, PPS Social Integration.  A majority of contacted partners responded to the questionnaire. Where appropriate key non-state organisations like Non-Governmental Organizations (NGO’s) and Inter-Governmental Organizations (IGO’s) were also consulted indirectly by the responsible governmental service.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first analysis of the results on the questionnaire has been discussed in a meeting in June 2013 with the competent ministerial delegations/policy makers. Subsequently, respondents of the questionnaire were given the occasion to validate the analysis or to provide additional information.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results of the questionnaire served as the basic input to compose the Policy Dialogue and to draft the National Program. During the revisions of the draft NP, all partners were asked to deliver input and extra information, coordinated centrally by the ministry of Home Affairs. The input was given in different ways, mostly by e-mail exchange but also by bilateral meetings and telephone contacts. All partners had at all times access to the latest draft and the minutes of the policy dialogue. Each consulted partner provided the input for the field in which it is responsible, including the indicators. During discussions with the coordination unit these were refined when necessary. The formal submission finally took place on September 27th 2014. Comments received after the formal submission are just as before sent to the relevant partners and reaction is gathered on a bilateral basis. The budgetary division was decided on an interministerial level (05/02/2014) where all the relevant political decision makers were present.</w:t>
      </w:r>
    </w:p>
    <w:p w:rsidR="0084560F" w:rsidRPr="00EA12D4" w:rsidP="00C13D6C">
      <w:pPr>
        <w:spacing w:before="0" w:after="0"/>
        <w:jc w:val="left"/>
      </w:pPr>
    </w:p>
    <w:p w:rsidR="0084560F" w:rsidRPr="00EA12D4" w:rsidP="00C13D6C">
      <w:pPr>
        <w:pStyle w:val="Heading2"/>
        <w:numPr>
          <w:ilvl w:val="0"/>
          <w:numId w:val="0"/>
        </w:numPr>
        <w:spacing w:before="0" w:after="0"/>
        <w:jc w:val="left"/>
      </w:pPr>
      <w:bookmarkStart w:id="158" w:name="_Toc256000021"/>
      <w:bookmarkStart w:id="159" w:name="_Toc256000079"/>
      <w:bookmarkStart w:id="160" w:name="_Toc256000137"/>
      <w:bookmarkStart w:id="161" w:name="_Toc256000195"/>
      <w:r w:rsidRPr="00EA12D4">
        <w:rPr>
          <w:noProof/>
        </w:rPr>
        <w:t>6.2 Comité de suivi</w:t>
      </w:r>
      <w:bookmarkEnd w:id="161"/>
      <w:bookmarkEnd w:id="160"/>
      <w:bookmarkEnd w:id="159"/>
      <w:bookmarkEnd w:id="158"/>
    </w:p>
    <w:p>
      <w:pPr>
        <w:spacing w:before="0" w:after="240"/>
        <w:jc w:val="left"/>
        <w:rPr>
          <w:rFonts w:ascii="Times New Roman" w:eastAsia="Times New Roman" w:hAnsi="Times New Roman" w:cs="Times New Roman"/>
        </w:rPr>
      </w:pPr>
      <w:r>
        <w:rPr>
          <w:rFonts w:ascii="Times New Roman" w:eastAsia="Times New Roman" w:hAnsi="Times New Roman" w:cs="Times New Roman"/>
        </w:rPr>
        <w:t>On 05/02/2014 on inter-ministerial level the decision has been made to set up a monitoring committee (MC). This MC will consist of the relevant cabinets and will be chaired by the president of the FPS Home affairs. The composition will be thematic or political based upon the matters to be discussed/monitored. The main role of this MC is to validate all important decisions like the selection of projects and the annual reporting to the EC. It will meet when necessary but at least once a year for the annual reporting. These MC meetings can be preceded by a preparatory meeting at the level of the administrations.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European Funds Unit is responsible to provide all necessary information, like reports, analyses, Audit reports, financial updates, etc. available in due time.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Besides the MC, relevant partners involved in the preparation and implementation will gather on a regular basis in other, more informal working groups. These will be on a project level, bringing together persons working on the project to discuss the progress and the NP in general. The results of these meetings will also serve as input for the MC discussing the progress and implementation on a broader level.</w:t>
      </w:r>
    </w:p>
    <w:p w:rsidR="0084560F" w:rsidRPr="00EA12D4" w:rsidP="00C13D6C">
      <w:pPr>
        <w:spacing w:before="0" w:after="0"/>
        <w:jc w:val="left"/>
      </w:pPr>
    </w:p>
    <w:p w:rsidR="0084560F" w:rsidRPr="00EA12D4" w:rsidP="00C13D6C">
      <w:pPr>
        <w:pStyle w:val="Heading2"/>
        <w:numPr>
          <w:ilvl w:val="0"/>
          <w:numId w:val="0"/>
        </w:numPr>
        <w:spacing w:before="0" w:after="0"/>
        <w:jc w:val="left"/>
      </w:pPr>
      <w:bookmarkStart w:id="162" w:name="_Toc256000022"/>
      <w:bookmarkStart w:id="163" w:name="_Toc256000080"/>
      <w:bookmarkStart w:id="164" w:name="_Toc256000138"/>
      <w:bookmarkStart w:id="165" w:name="_Toc256000196"/>
      <w:r w:rsidRPr="00EA12D4">
        <w:rPr>
          <w:noProof/>
        </w:rPr>
        <w:t>6.3 Cadre commun de suivi et d’évaluation</w:t>
      </w:r>
      <w:bookmarkEnd w:id="165"/>
      <w:bookmarkEnd w:id="164"/>
      <w:bookmarkEnd w:id="163"/>
      <w:bookmarkEnd w:id="162"/>
    </w:p>
    <w:p>
      <w:pPr>
        <w:spacing w:before="0" w:after="240"/>
        <w:jc w:val="left"/>
        <w:rPr>
          <w:rFonts w:ascii="Times New Roman" w:eastAsia="Times New Roman" w:hAnsi="Times New Roman" w:cs="Times New Roman"/>
        </w:rPr>
      </w:pPr>
      <w:r>
        <w:rPr>
          <w:rFonts w:ascii="Times New Roman" w:eastAsia="Times New Roman" w:hAnsi="Times New Roman" w:cs="Times New Roman"/>
        </w:rPr>
        <w:t>Monitoring is an essential part of the management of the fund and is as such inherently a duty of the RA. The data for monitoring and evaluation will be included in the reports from the project implementers which they submit on defined dates to the RA (exact dates will be included in the grant agreements). In these reports there will be info on the defined common indicators but also on the impact of the project to be used for evaluating the project. The RA will check this data/information during the operational on-the-spot checks and will gather all this data in an electronic system (an excel table is envisaged) to be able to have a clear look on the progress at all time. This collected data will also be presented and discussed in the monitoring and working group meetings, allowing for revisions or improvements of the existing system/programme. The requested evaluations in 2017 and 2024 will preferably be done ‘in-house’, meaning specialized experts inside the administrations but outside the RA. Close cooperation with the RA will be necessary to be able to perform a successful evaluation. Outsourcing remains a possibility but is not preferred as the subject requires specific knowledge. For these evaluations visits and interviews will complement the data gathered form reports.</w:t>
      </w:r>
    </w:p>
    <w:p w:rsidR="0084560F" w:rsidRPr="00EA12D4" w:rsidP="00C13D6C">
      <w:pPr>
        <w:spacing w:before="0" w:after="0"/>
        <w:jc w:val="left"/>
      </w:pPr>
    </w:p>
    <w:p w:rsidR="0084560F" w:rsidRPr="00EA12D4" w:rsidP="00C13D6C">
      <w:pPr>
        <w:pStyle w:val="Heading2"/>
        <w:numPr>
          <w:ilvl w:val="0"/>
          <w:numId w:val="0"/>
        </w:numPr>
        <w:spacing w:before="0" w:after="0"/>
        <w:jc w:val="left"/>
      </w:pPr>
      <w:bookmarkStart w:id="166" w:name="_Toc256000023"/>
      <w:bookmarkStart w:id="167" w:name="_Toc256000081"/>
      <w:bookmarkStart w:id="168" w:name="_Toc256000139"/>
      <w:bookmarkStart w:id="169" w:name="_Toc256000197"/>
      <w:r w:rsidRPr="00EA12D4">
        <w:rPr>
          <w:noProof/>
        </w:rPr>
        <w:t>6.4 Association du partenariat à la mise en œuvre, au suivi et à l’évaluation du programme national</w:t>
      </w:r>
      <w:bookmarkEnd w:id="169"/>
      <w:bookmarkEnd w:id="168"/>
      <w:bookmarkEnd w:id="167"/>
      <w:bookmarkEnd w:id="166"/>
    </w:p>
    <w:p>
      <w:pPr>
        <w:spacing w:before="0" w:after="240"/>
        <w:jc w:val="left"/>
        <w:rPr>
          <w:rFonts w:ascii="Times New Roman" w:eastAsia="Times New Roman" w:hAnsi="Times New Roman" w:cs="Times New Roman"/>
        </w:rPr>
      </w:pPr>
      <w:r>
        <w:rPr>
          <w:rFonts w:ascii="Times New Roman" w:eastAsia="Times New Roman" w:hAnsi="Times New Roman" w:cs="Times New Roman"/>
        </w:rPr>
        <w:t>See also 6.1 and 6.2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 key partners involved in the preparation will also be involved in the preparatory meeting of the MC introduced in 6.2 (for the broader management of the NP). The partners involved in the preparatory meeting are the relevant administrations (e.g. Home affairs, Fedasil, Integration,...). The partners in the MC are the political decision makers (cabinets of the ministers). The MC will decide on strategic issues and will ratify the selection of projects, respecting the agreed NP.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the working group meetings (for the management on project level) all partners involved in the implementation will be present. They will not necessarily be the same partners as in the MC as they implement the projects and are not necessarily the political decision making partners. The partners in the working group meetings can include besides administration also NGO’s, IGO, cities, social welfare institutions, red cross,….  At this level no decisions are taken but the progress of the NP is discussed, issues can be raised and problems can be solved.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There will be feed-back between these two levels of partnership as decisions or remarks made can have influence on both levels. The RA acts as the main interlocutor but most of the administrations will be present on both levels, ensuring a smooth flow of information between both levels.</w:t>
      </w:r>
    </w:p>
    <w:p w:rsidR="0084560F" w:rsidRPr="00EA12D4" w:rsidP="00C13D6C">
      <w:pPr>
        <w:spacing w:before="0" w:after="0"/>
        <w:jc w:val="left"/>
      </w:pPr>
    </w:p>
    <w:p w:rsidR="0084560F" w:rsidRPr="00EA12D4" w:rsidP="00C13D6C">
      <w:pPr>
        <w:pStyle w:val="Heading2"/>
        <w:numPr>
          <w:ilvl w:val="0"/>
          <w:numId w:val="0"/>
        </w:numPr>
        <w:spacing w:before="0" w:after="0"/>
        <w:ind w:left="851" w:hanging="851"/>
        <w:jc w:val="left"/>
      </w:pPr>
      <w:bookmarkStart w:id="170" w:name="_Toc256000024"/>
      <w:bookmarkStart w:id="171" w:name="_Toc256000082"/>
      <w:bookmarkStart w:id="172" w:name="_Toc256000140"/>
      <w:bookmarkStart w:id="173" w:name="_Toc256000198"/>
      <w:r w:rsidRPr="00EA12D4">
        <w:rPr>
          <w:noProof/>
        </w:rPr>
        <w:t>6.5 Information et publicité</w:t>
      </w:r>
      <w:bookmarkEnd w:id="173"/>
      <w:bookmarkEnd w:id="172"/>
      <w:bookmarkEnd w:id="171"/>
      <w:bookmarkEnd w:id="170"/>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The National Programme will be available on a website. All information about projects, procedures and management of the AMIF will be equally available on this specific </w:t>
      </w:r>
      <w:r>
        <w:rPr>
          <w:rFonts w:ascii="Times New Roman" w:eastAsia="Times New Roman" w:hAnsi="Times New Roman" w:cs="Times New Roman"/>
          <w:u w:val="single"/>
        </w:rPr>
        <w:t>website</w:t>
      </w:r>
      <w:r>
        <w:rPr>
          <w:rFonts w:ascii="Times New Roman" w:eastAsia="Times New Roman" w:hAnsi="Times New Roman" w:cs="Times New Roman"/>
        </w:rPr>
        <w:t xml:space="preserve"> established only for this reason.  The website will be regularly updated by the Responsible Authority. After closure of projects, information regarding the achieved objectives and the impact will also be made available for the public through this website.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Practical information on procedures, intermediary decisions and modifications of any kind on the application of the National Programme  will be communicated to the project partners through the </w:t>
      </w:r>
      <w:r>
        <w:rPr>
          <w:rFonts w:ascii="Times New Roman" w:eastAsia="Times New Roman" w:hAnsi="Times New Roman" w:cs="Times New Roman"/>
          <w:u w:val="single"/>
        </w:rPr>
        <w:t>monitoring committee and working groups</w:t>
      </w:r>
      <w:r>
        <w:rPr>
          <w:rFonts w:ascii="Times New Roman" w:eastAsia="Times New Roman" w:hAnsi="Times New Roman" w:cs="Times New Roman"/>
        </w:rPr>
        <w:t>. (See 6.2. )</w:t>
      </w:r>
    </w:p>
    <w:p w:rsidR="0084560F" w:rsidRPr="00AA6D96" w:rsidP="00C13D6C">
      <w:pPr>
        <w:keepNext/>
        <w:spacing w:before="0" w:after="0"/>
        <w:jc w:val="left"/>
      </w:pPr>
    </w:p>
    <w:p w:rsidR="0084560F" w:rsidRPr="00EA12D4" w:rsidP="00C13D6C">
      <w:pPr>
        <w:pStyle w:val="Heading2"/>
        <w:numPr>
          <w:ilvl w:val="0"/>
          <w:numId w:val="0"/>
        </w:numPr>
        <w:spacing w:before="0" w:after="0"/>
        <w:ind w:left="850" w:hanging="850"/>
        <w:jc w:val="left"/>
      </w:pPr>
      <w:bookmarkStart w:id="174" w:name="_Toc256000025"/>
      <w:bookmarkStart w:id="175" w:name="_Toc256000083"/>
      <w:bookmarkStart w:id="176" w:name="_Toc256000141"/>
      <w:bookmarkStart w:id="177" w:name="_Toc256000199"/>
      <w:r>
        <w:rPr>
          <w:noProof/>
        </w:rPr>
        <w:t>6.6 Coordination et complémentarité avec d'autres instruments</w:t>
      </w:r>
      <w:bookmarkEnd w:id="177"/>
      <w:bookmarkEnd w:id="176"/>
      <w:bookmarkEnd w:id="175"/>
      <w:bookmarkEnd w:id="174"/>
    </w:p>
    <w:p>
      <w:pPr>
        <w:spacing w:before="0" w:after="240"/>
        <w:jc w:val="left"/>
        <w:rPr>
          <w:rFonts w:ascii="Times New Roman" w:eastAsia="Times New Roman" w:hAnsi="Times New Roman" w:cs="Times New Roman"/>
        </w:rPr>
      </w:pPr>
      <w:r>
        <w:rPr>
          <w:rFonts w:ascii="Times New Roman" w:eastAsia="Times New Roman" w:hAnsi="Times New Roman" w:cs="Times New Roman"/>
        </w:rPr>
        <w:t>The NP is prepared in close cooperation with a broad range of partners, of which some are familiar with other Union instruments. This is especially the case for the ESF and ISF. In the NP the separation between AMIF and ESF/ISF actions is clearly mentioned and this will be monitored by the RA/DA.  For the overlap with ISF: all projects will be discussed inside the RA and during the working group meetings, so overlap shall be immediately discovered. For the possible overlap with ESF (mostly applicable to the regions (Integration part)) there is a similar mechanism in place. All projects from both AMIF and ESF are discussed in the same meetings, avoiding overlaps. This mechanism will be monitored by the 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 regards actions with possible synergies and complementarities with the EU external policies on migration, the EU delegations will be involved where possible. Coordination with these EU delegations in the programming and implementation phases of actions as e.g. information campaigns will be ensured as these projects are de facto executed in cooperation with these delegations.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 regards the complementarity with other instruments further away from the field of the AMIF (and ISF), the information regarding the actions and projects will be distributed to all involved partners and to representatives and contact persons at different levels (cabinets, coordination units, etc.). Where possible coordination and/or complementarity with other instruments managed or monitored by them will be investigated.</w:t>
      </w:r>
    </w:p>
    <w:p w:rsidR="0084560F" w:rsidRPr="00EA12D4" w:rsidP="00C13D6C">
      <w:pPr>
        <w:spacing w:before="0" w:after="0"/>
        <w:jc w:val="left"/>
      </w:pPr>
    </w:p>
    <w:p w:rsidR="0084560F" w:rsidP="00C13D6C">
      <w:pPr>
        <w:pStyle w:val="Heading2"/>
        <w:numPr>
          <w:ilvl w:val="0"/>
          <w:numId w:val="0"/>
        </w:numPr>
        <w:spacing w:before="0" w:after="0"/>
        <w:ind w:left="850" w:hanging="850"/>
        <w:jc w:val="left"/>
      </w:pPr>
      <w:bookmarkStart w:id="178" w:name="_Toc256000026"/>
      <w:bookmarkStart w:id="179" w:name="_Toc256000084"/>
      <w:bookmarkStart w:id="180" w:name="_Toc256000142"/>
      <w:bookmarkStart w:id="181" w:name="_Toc256000200"/>
      <w:r w:rsidRPr="00EA12D4">
        <w:rPr>
          <w:noProof/>
        </w:rPr>
        <w:t>6.7 Bénéficiaires</w:t>
      </w:r>
      <w:bookmarkEnd w:id="181"/>
      <w:bookmarkEnd w:id="180"/>
      <w:bookmarkEnd w:id="179"/>
      <w:bookmarkEnd w:id="178"/>
    </w:p>
    <w:p w:rsidR="0084560F" w:rsidRPr="007A65E2" w:rsidP="00C13D6C">
      <w:pPr>
        <w:spacing w:before="0" w:after="0"/>
        <w:rPr>
          <w:sz w:val="12"/>
          <w:szCs w:val="12"/>
        </w:rPr>
      </w:pPr>
    </w:p>
    <w:p w:rsidR="0084560F" w:rsidRPr="0021650F" w:rsidP="00C13D6C">
      <w:pPr>
        <w:pStyle w:val="Heading3"/>
        <w:numPr>
          <w:ilvl w:val="0"/>
          <w:numId w:val="0"/>
        </w:numPr>
        <w:spacing w:before="0" w:after="0"/>
        <w:ind w:left="850" w:hanging="850"/>
        <w:jc w:val="left"/>
        <w:rPr>
          <w:b/>
        </w:rPr>
      </w:pPr>
      <w:bookmarkStart w:id="182" w:name="_Toc256000027"/>
      <w:bookmarkStart w:id="183" w:name="_Toc256000085"/>
      <w:bookmarkStart w:id="184" w:name="_Toc256000143"/>
      <w:bookmarkStart w:id="185" w:name="_Toc256000201"/>
      <w:r w:rsidRPr="0021650F">
        <w:rPr>
          <w:b/>
          <w:noProof/>
        </w:rPr>
        <w:t>6.7.1 Liste des cinq principaux types de bénéficiaires du programme</w:t>
      </w:r>
      <w:bookmarkEnd w:id="185"/>
      <w:bookmarkEnd w:id="184"/>
      <w:bookmarkEnd w:id="183"/>
      <w:bookmarkEnd w:id="182"/>
    </w:p>
    <w:p>
      <w:pPr>
        <w:numPr>
          <w:ilvl w:val="0"/>
          <w:numId w:val="45"/>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State (federal and regional) authorities</w:t>
      </w:r>
    </w:p>
    <w:p>
      <w:pPr>
        <w:numPr>
          <w:ilvl w:val="0"/>
          <w:numId w:val="45"/>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Local public bodies</w:t>
      </w:r>
    </w:p>
    <w:p>
      <w:pPr>
        <w:numPr>
          <w:ilvl w:val="0"/>
          <w:numId w:val="45"/>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Non-Governmental organisations</w:t>
      </w:r>
    </w:p>
    <w:p>
      <w:pPr>
        <w:numPr>
          <w:ilvl w:val="0"/>
          <w:numId w:val="45"/>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International public organisations</w:t>
      </w:r>
    </w:p>
    <w:p>
      <w:pPr>
        <w:numPr>
          <w:ilvl w:val="0"/>
          <w:numId w:val="45"/>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National Red Cross</w:t>
      </w:r>
    </w:p>
    <w:p w:rsidR="0084560F" w:rsidRPr="00EA12D4" w:rsidP="00C13D6C">
      <w:pPr>
        <w:spacing w:before="0" w:after="0"/>
        <w:jc w:val="left"/>
      </w:pPr>
    </w:p>
    <w:p w:rsidR="0084560F" w:rsidRPr="0021650F" w:rsidP="00C13D6C">
      <w:pPr>
        <w:pStyle w:val="Heading3"/>
        <w:numPr>
          <w:ilvl w:val="0"/>
          <w:numId w:val="0"/>
        </w:numPr>
        <w:spacing w:before="0" w:after="0"/>
        <w:ind w:left="850" w:hanging="850"/>
        <w:jc w:val="left"/>
        <w:rPr>
          <w:b/>
        </w:rPr>
      </w:pPr>
      <w:bookmarkStart w:id="186" w:name="_Toc256000028"/>
      <w:bookmarkStart w:id="187" w:name="_Toc256000086"/>
      <w:bookmarkStart w:id="188" w:name="_Toc256000144"/>
      <w:bookmarkStart w:id="189" w:name="_Toc256000202"/>
      <w:r w:rsidRPr="0021650F">
        <w:rPr>
          <w:b/>
          <w:noProof/>
        </w:rPr>
        <w:t>6.7.2 Attribution directe (le cas échéant)</w:t>
      </w:r>
      <w:bookmarkEnd w:id="189"/>
      <w:bookmarkEnd w:id="188"/>
      <w:bookmarkEnd w:id="187"/>
      <w:bookmarkEnd w:id="186"/>
    </w:p>
    <w:p>
      <w:pPr>
        <w:spacing w:before="0" w:after="240"/>
        <w:jc w:val="left"/>
        <w:rPr>
          <w:rFonts w:ascii="Times New Roman" w:eastAsia="Times New Roman" w:hAnsi="Times New Roman" w:cs="Times New Roman"/>
        </w:rPr>
      </w:pPr>
      <w:r>
        <w:rPr>
          <w:rFonts w:ascii="Times New Roman" w:eastAsia="Times New Roman" w:hAnsi="Times New Roman" w:cs="Times New Roman"/>
        </w:rPr>
        <w:t>Belgium will use direct award in cases where projects are part of a competence which is a legal or de facto monopoly.</w:t>
      </w:r>
    </w:p>
    <w:p w:rsidR="0084560F" w:rsidP="00C13D6C">
      <w:pPr>
        <w:spacing w:before="0" w:after="0"/>
        <w:jc w:val="left"/>
      </w:pPr>
    </w:p>
    <w:p w:rsidR="0084560F" w:rsidP="00C13D6C">
      <w:pPr>
        <w:pStyle w:val="Heading1"/>
        <w:numPr>
          <w:ilvl w:val="0"/>
          <w:numId w:val="0"/>
        </w:numPr>
        <w:spacing w:before="0" w:after="0"/>
        <w:ind w:left="850" w:hanging="850"/>
        <w:sectPr w:rsidSect="00376681">
          <w:headerReference w:type="default" r:id="rId10"/>
          <w:footerReference w:type="default" r:id="rId11"/>
          <w:headerReference w:type="first" r:id="rId12"/>
          <w:footerReference w:type="first" r:id="rId13"/>
          <w:pgSz w:w="11906" w:h="16838" w:code="9"/>
          <w:pgMar w:top="1134" w:right="1417" w:bottom="1134" w:left="1417" w:header="567" w:footer="567" w:gutter="0"/>
          <w:cols w:space="708"/>
          <w:docGrid w:linePitch="360"/>
        </w:sectPr>
      </w:pPr>
    </w:p>
    <w:p w:rsidR="0084560F" w:rsidP="00C13D6C">
      <w:pPr>
        <w:pStyle w:val="Heading1"/>
        <w:numPr>
          <w:ilvl w:val="0"/>
          <w:numId w:val="0"/>
        </w:numPr>
        <w:spacing w:before="0" w:after="0"/>
        <w:ind w:left="850" w:hanging="850"/>
      </w:pPr>
      <w:bookmarkStart w:id="190" w:name="_Toc256000029"/>
      <w:bookmarkStart w:id="191" w:name="_Toc256000087"/>
      <w:bookmarkStart w:id="192" w:name="_Toc256000145"/>
      <w:bookmarkStart w:id="193" w:name="_Toc256000203"/>
      <w:r w:rsidRPr="00F76CA0">
        <w:rPr>
          <w:noProof/>
        </w:rPr>
        <w:t>7. PLAN DE FINANCEMENT DU PROGRAMME</w:t>
      </w:r>
      <w:bookmarkEnd w:id="193"/>
      <w:bookmarkEnd w:id="192"/>
      <w:bookmarkEnd w:id="191"/>
      <w:bookmarkEnd w:id="190"/>
    </w:p>
    <w:p w:rsidR="0084560F" w:rsidRPr="00F76CA0" w:rsidP="00C13D6C">
      <w:pPr>
        <w:spacing w:before="0" w:after="0"/>
        <w:rPr>
          <w:b/>
        </w:rPr>
      </w:pPr>
    </w:p>
    <w:p w:rsidR="0084560F" w:rsidRPr="00F76CA0" w:rsidP="00C13D6C">
      <w:pPr>
        <w:pStyle w:val="Heading2"/>
        <w:numPr>
          <w:ilvl w:val="0"/>
          <w:numId w:val="0"/>
        </w:numPr>
        <w:spacing w:before="0" w:after="0"/>
        <w:ind w:left="850" w:hanging="850"/>
        <w:rPr>
          <w:rFonts w:eastAsia="Arial Unicode MS"/>
        </w:rPr>
      </w:pPr>
      <w:bookmarkStart w:id="194" w:name="_Toc256000030"/>
      <w:bookmarkStart w:id="195" w:name="_Toc256000088"/>
      <w:bookmarkStart w:id="196" w:name="_Toc256000146"/>
      <w:bookmarkStart w:id="197" w:name="_Toc256000204"/>
      <w:r w:rsidRPr="00F76CA0">
        <w:rPr>
          <w:rFonts w:eastAsia="Arial Unicode MS"/>
          <w:noProof/>
        </w:rPr>
        <w:t>Tableau 1: Plan financier Fonds «Asile, migration et intégration»</w:t>
      </w:r>
      <w:bookmarkEnd w:id="197"/>
      <w:bookmarkEnd w:id="196"/>
      <w:bookmarkEnd w:id="195"/>
      <w:bookmarkEnd w:id="194"/>
    </w:p>
    <w:tbl>
      <w:tblPr>
        <w:tblStyle w:val="TableNormal"/>
        <w:tblW w:w="5000" w:type="pc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15"/>
        <w:gridCol w:w="1749"/>
      </w:tblGrid>
      <w:tr w:rsidTr="00376681">
        <w:tblPrEx>
          <w:tblW w:w="5000" w:type="pc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285"/>
        </w:trPr>
        <w:tc>
          <w:tcPr>
            <w:tcBorders>
              <w:top w:val="single" w:sz="4" w:space="0" w:color="auto"/>
              <w:left w:val="single" w:sz="4" w:space="0" w:color="auto"/>
              <w:bottom w:val="single" w:sz="4" w:space="0" w:color="auto"/>
              <w:right w:val="single" w:sz="4" w:space="0" w:color="auto"/>
            </w:tcBorders>
            <w:shd w:val="clear" w:color="auto" w:fill="auto"/>
          </w:tcPr>
          <w:p w:rsidR="0084560F" w:rsidRPr="005041F1" w:rsidP="00C13D6C">
            <w:pPr>
              <w:spacing w:before="0" w:after="0"/>
              <w:rPr>
                <w:b/>
              </w:rPr>
            </w:pPr>
            <w:r w:rsidRPr="005041F1">
              <w:rPr>
                <w:b/>
                <w:noProof/>
              </w:rPr>
              <w:t>Objectif spécifique / objectif national / action spécifique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5041F1" w:rsidP="00C13D6C">
            <w:pPr>
              <w:pStyle w:val="NormalRight"/>
              <w:spacing w:before="0" w:after="0"/>
              <w:rPr>
                <w:b/>
              </w:rPr>
            </w:pPr>
            <w:r w:rsidRPr="005041F1">
              <w:rPr>
                <w:b/>
                <w:noProof/>
              </w:rPr>
              <w:t>Total</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1</w:t>
            </w:r>
            <w:r>
              <w:t>.</w:t>
            </w:r>
            <w:r>
              <w:rPr>
                <w:noProof/>
              </w:rPr>
              <w:t>ON</w:t>
            </w:r>
            <w:r w:rsidRPr="006A2581">
              <w:rPr>
                <w:noProof/>
              </w:rPr>
              <w:t>1</w:t>
            </w:r>
            <w:r w:rsidRPr="006A2581">
              <w:t xml:space="preserve"> </w:t>
            </w:r>
            <w:r w:rsidRPr="006A2581">
              <w:rPr>
                <w:noProof/>
              </w:rPr>
              <w:t>Accueil/Asile</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22 813 801,27</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1</w:t>
            </w:r>
            <w:r>
              <w:t>.</w:t>
            </w:r>
            <w:r>
              <w:rPr>
                <w:noProof/>
              </w:rPr>
              <w:t>ON</w:t>
            </w:r>
            <w:r w:rsidRPr="006A2581">
              <w:rPr>
                <w:noProof/>
              </w:rPr>
              <w:t>2</w:t>
            </w:r>
            <w:r w:rsidRPr="006A2581">
              <w:t xml:space="preserve"> </w:t>
            </w:r>
            <w:r w:rsidRPr="006A2581">
              <w:rPr>
                <w:noProof/>
              </w:rPr>
              <w:t>Évaluation</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9 697 565,69</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1</w:t>
            </w:r>
            <w:r>
              <w:t>.</w:t>
            </w:r>
            <w:r>
              <w:rPr>
                <w:noProof/>
              </w:rPr>
              <w:t>ON</w:t>
            </w:r>
            <w:r w:rsidRPr="006A2581">
              <w:rPr>
                <w:noProof/>
              </w:rPr>
              <w:t>3</w:t>
            </w:r>
            <w:r w:rsidRPr="006A2581">
              <w:t xml:space="preserve"> </w:t>
            </w:r>
            <w:r w:rsidRPr="006A2581">
              <w:rPr>
                <w:noProof/>
              </w:rPr>
              <w:t>Réinstallation</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2 381 597,48</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b/>
                <w:noProof/>
              </w:rPr>
              <w:t>TOTAL ON OS</w:t>
            </w:r>
            <w:r w:rsidRPr="00AA28AE">
              <w:rPr>
                <w:b/>
                <w:noProof/>
              </w:rPr>
              <w:t>1</w:t>
            </w:r>
            <w:r>
              <w:rPr>
                <w:b/>
              </w:rPr>
              <w:t xml:space="preserve"> </w:t>
            </w:r>
            <w:r w:rsidRPr="006A2581">
              <w:rPr>
                <w:b/>
                <w:noProof/>
              </w:rPr>
              <w:t>Asile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321779">
              <w:rPr>
                <w:b/>
                <w:noProof/>
              </w:rPr>
              <w:t>34 892 964,44</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1</w:t>
            </w:r>
            <w:r>
              <w:t>.</w:t>
            </w:r>
            <w:r>
              <w:rPr>
                <w:noProof/>
              </w:rPr>
              <w:t>AS</w:t>
            </w:r>
            <w:r w:rsidRPr="006A2581">
              <w:rPr>
                <w:noProof/>
              </w:rPr>
              <w:t>1</w:t>
            </w:r>
            <w:r w:rsidRPr="006A2581">
              <w:t xml:space="preserve"> </w:t>
            </w:r>
            <w:r w:rsidRPr="006A2581">
              <w:rPr>
                <w:noProof/>
              </w:rPr>
              <w:t>Centres de transit</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1</w:t>
            </w:r>
            <w:r>
              <w:t>.</w:t>
            </w:r>
            <w:r>
              <w:rPr>
                <w:noProof/>
              </w:rPr>
              <w:t>AS</w:t>
            </w:r>
            <w:r w:rsidRPr="006A2581">
              <w:rPr>
                <w:noProof/>
              </w:rPr>
              <w:t>2</w:t>
            </w:r>
            <w:r w:rsidRPr="006A2581">
              <w:t xml:space="preserve"> </w:t>
            </w:r>
            <w:r w:rsidRPr="006A2581">
              <w:rPr>
                <w:noProof/>
              </w:rPr>
              <w:t>Accès aux procédure d’asile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9A4CFA">
              <w:rPr>
                <w:b/>
                <w:noProof/>
              </w:rPr>
              <w:t>TOTAL AS OS</w:t>
            </w:r>
            <w:r w:rsidRPr="009A4CFA">
              <w:rPr>
                <w:b/>
                <w:noProof/>
              </w:rPr>
              <w:t>1</w:t>
            </w:r>
            <w:r>
              <w:rPr>
                <w:b/>
              </w:rPr>
              <w:t xml:space="preserve"> </w:t>
            </w:r>
            <w:r w:rsidRPr="006A2581">
              <w:rPr>
                <w:b/>
                <w:noProof/>
              </w:rPr>
              <w:t>Asile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BF173C">
              <w:rPr>
                <w:b/>
                <w:noProof/>
              </w:rPr>
              <w:t>0,00</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4D33AE">
              <w:rPr>
                <w:b/>
                <w:noProof/>
              </w:rPr>
              <w:t>TOTAL</w:t>
            </w:r>
            <w:r>
              <w:t xml:space="preserve"> </w:t>
            </w:r>
            <w:r w:rsidRPr="00CC0A0F">
              <w:rPr>
                <w:b/>
                <w:noProof/>
              </w:rPr>
              <w:t>OS</w:t>
            </w:r>
            <w:r w:rsidRPr="006A2581">
              <w:rPr>
                <w:b/>
                <w:noProof/>
              </w:rPr>
              <w:t>1</w:t>
            </w:r>
            <w:r w:rsidRPr="006A2581">
              <w:rPr>
                <w:b/>
              </w:rPr>
              <w:t xml:space="preserve"> </w:t>
            </w:r>
            <w:r w:rsidRPr="006A2581">
              <w:rPr>
                <w:b/>
                <w:noProof/>
              </w:rPr>
              <w:t>Asile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5665CE">
              <w:rPr>
                <w:b/>
                <w:noProof/>
              </w:rPr>
              <w:t>34 892 964,44</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ON</w:t>
            </w:r>
            <w:r w:rsidRPr="006A2581">
              <w:rPr>
                <w:noProof/>
              </w:rPr>
              <w:t>1</w:t>
            </w:r>
            <w:r w:rsidRPr="006A2581">
              <w:t xml:space="preserve"> </w:t>
            </w:r>
            <w:r w:rsidRPr="006A2581">
              <w:rPr>
                <w:noProof/>
              </w:rPr>
              <w:t>Migration légale</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ON</w:t>
            </w:r>
            <w:r w:rsidRPr="006A2581">
              <w:rPr>
                <w:noProof/>
              </w:rPr>
              <w:t>2</w:t>
            </w:r>
            <w:r w:rsidRPr="006A2581">
              <w:t xml:space="preserve"> </w:t>
            </w:r>
            <w:r w:rsidRPr="006A2581">
              <w:rPr>
                <w:noProof/>
              </w:rPr>
              <w:t>Intégration</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36 124 814,06</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ON</w:t>
            </w:r>
            <w:r w:rsidRPr="006A2581">
              <w:rPr>
                <w:noProof/>
              </w:rPr>
              <w:t>3</w:t>
            </w:r>
            <w:r w:rsidRPr="006A2581">
              <w:t xml:space="preserve"> </w:t>
            </w:r>
            <w:r w:rsidRPr="006A2581">
              <w:rPr>
                <w:noProof/>
              </w:rPr>
              <w:t>Capacité</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2 167 561,56</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b/>
                <w:noProof/>
              </w:rPr>
              <w:t>TOTAL ON OS</w:t>
            </w:r>
            <w:r w:rsidRPr="00AA28AE">
              <w:rPr>
                <w:b/>
                <w:noProof/>
              </w:rPr>
              <w:t>2</w:t>
            </w:r>
            <w:r>
              <w:rPr>
                <w:b/>
              </w:rPr>
              <w:t xml:space="preserve"> </w:t>
            </w:r>
            <w:r w:rsidRPr="006A2581">
              <w:rPr>
                <w:b/>
                <w:noProof/>
              </w:rPr>
              <w:t>Intégration/migration légale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321779">
              <w:rPr>
                <w:b/>
                <w:noProof/>
              </w:rPr>
              <w:t>38 292 375,62</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AS</w:t>
            </w:r>
            <w:r w:rsidRPr="006A2581">
              <w:rPr>
                <w:noProof/>
              </w:rPr>
              <w:t>3</w:t>
            </w:r>
            <w:r w:rsidRPr="006A2581">
              <w:t xml:space="preserve"> </w:t>
            </w:r>
            <w:r w:rsidRPr="006A2581">
              <w:rPr>
                <w:noProof/>
              </w:rPr>
              <w:t>Initiatives conjointes</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AS</w:t>
            </w:r>
            <w:r w:rsidRPr="006A2581">
              <w:rPr>
                <w:noProof/>
              </w:rPr>
              <w:t>4</w:t>
            </w:r>
            <w:r w:rsidRPr="006A2581">
              <w:t xml:space="preserve"> </w:t>
            </w:r>
            <w:r w:rsidRPr="006A2581">
              <w:rPr>
                <w:noProof/>
              </w:rPr>
              <w:t>Mineurs non accompagnés</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2</w:t>
            </w:r>
            <w:r>
              <w:t>.</w:t>
            </w:r>
            <w:r>
              <w:rPr>
                <w:noProof/>
              </w:rPr>
              <w:t>AS</w:t>
            </w:r>
            <w:r w:rsidRPr="006A2581">
              <w:rPr>
                <w:noProof/>
              </w:rPr>
              <w:t>8</w:t>
            </w:r>
            <w:r w:rsidRPr="006A2581">
              <w:t xml:space="preserve"> </w:t>
            </w:r>
            <w:r w:rsidRPr="006A2581">
              <w:rPr>
                <w:noProof/>
              </w:rPr>
              <w:t>Migration légale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9A4CFA">
              <w:rPr>
                <w:b/>
                <w:noProof/>
              </w:rPr>
              <w:t>TOTAL AS OS</w:t>
            </w:r>
            <w:r w:rsidRPr="009A4CFA">
              <w:rPr>
                <w:b/>
                <w:noProof/>
              </w:rPr>
              <w:t>2</w:t>
            </w:r>
            <w:r>
              <w:rPr>
                <w:b/>
              </w:rPr>
              <w:t xml:space="preserve"> </w:t>
            </w:r>
            <w:r w:rsidRPr="006A2581">
              <w:rPr>
                <w:b/>
                <w:noProof/>
              </w:rPr>
              <w:t>Intégration/migration légale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BF173C">
              <w:rPr>
                <w:b/>
                <w:noProof/>
              </w:rPr>
              <w:t>0,00</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4D33AE">
              <w:rPr>
                <w:b/>
                <w:noProof/>
              </w:rPr>
              <w:t>TOTAL</w:t>
            </w:r>
            <w:r>
              <w:t xml:space="preserve"> </w:t>
            </w:r>
            <w:r w:rsidRPr="00CC0A0F">
              <w:rPr>
                <w:b/>
                <w:noProof/>
              </w:rPr>
              <w:t>OS</w:t>
            </w:r>
            <w:r w:rsidRPr="006A2581">
              <w:rPr>
                <w:b/>
                <w:noProof/>
              </w:rPr>
              <w:t>2</w:t>
            </w:r>
            <w:r w:rsidRPr="006A2581">
              <w:rPr>
                <w:b/>
              </w:rPr>
              <w:t xml:space="preserve"> </w:t>
            </w:r>
            <w:r w:rsidRPr="006A2581">
              <w:rPr>
                <w:b/>
                <w:noProof/>
              </w:rPr>
              <w:t>Intégration/migration légale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5665CE">
              <w:rPr>
                <w:b/>
                <w:noProof/>
              </w:rPr>
              <w:t>38 292 375,62</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ON</w:t>
            </w:r>
            <w:r w:rsidRPr="006A2581">
              <w:rPr>
                <w:noProof/>
              </w:rPr>
              <w:t>1</w:t>
            </w:r>
            <w:r w:rsidRPr="006A2581">
              <w:t xml:space="preserve"> </w:t>
            </w:r>
            <w:r w:rsidRPr="006A2581">
              <w:rPr>
                <w:noProof/>
              </w:rPr>
              <w:t>Mesures d’accompagnement</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7 348 741,46</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ON</w:t>
            </w:r>
            <w:r w:rsidRPr="006A2581">
              <w:rPr>
                <w:noProof/>
              </w:rPr>
              <w:t>2</w:t>
            </w:r>
            <w:r w:rsidRPr="006A2581">
              <w:t xml:space="preserve"> </w:t>
            </w:r>
            <w:r w:rsidRPr="006A2581">
              <w:rPr>
                <w:noProof/>
              </w:rPr>
              <w:t>Mesures de retour</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25 048 883,67</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ON</w:t>
            </w:r>
            <w:r w:rsidRPr="006A2581">
              <w:rPr>
                <w:noProof/>
              </w:rPr>
              <w:t>3</w:t>
            </w:r>
            <w:r w:rsidRPr="006A2581">
              <w:t xml:space="preserve"> </w:t>
            </w:r>
            <w:r w:rsidRPr="006A2581">
              <w:rPr>
                <w:noProof/>
              </w:rPr>
              <w:t>Coopération</w:t>
            </w:r>
            <w:r w:rsidRPr="006A2581">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2 250 240,97</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b/>
                <w:noProof/>
              </w:rPr>
              <w:t>TOTAL ON OS</w:t>
            </w:r>
            <w:r w:rsidRPr="00AA28AE">
              <w:rPr>
                <w:b/>
                <w:noProof/>
              </w:rPr>
              <w:t>3</w:t>
            </w:r>
            <w:r>
              <w:rPr>
                <w:b/>
              </w:rPr>
              <w:t xml:space="preserve"> </w:t>
            </w:r>
            <w:r w:rsidRPr="006A2581">
              <w:rPr>
                <w:b/>
                <w:noProof/>
              </w:rPr>
              <w:t>Retour</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321779">
              <w:rPr>
                <w:b/>
                <w:noProof/>
              </w:rPr>
              <w:t>34 647 866,10</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AS</w:t>
            </w:r>
            <w:r w:rsidRPr="006A2581">
              <w:rPr>
                <w:noProof/>
              </w:rPr>
              <w:t>5</w:t>
            </w:r>
            <w:r w:rsidRPr="006A2581">
              <w:t xml:space="preserve"> </w:t>
            </w:r>
            <w:r w:rsidRPr="006A2581">
              <w:rPr>
                <w:noProof/>
              </w:rPr>
              <w:t>Opérations conjointes de retour</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7 753 663,12</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AS</w:t>
            </w:r>
            <w:r w:rsidRPr="006A2581">
              <w:rPr>
                <w:noProof/>
              </w:rPr>
              <w:t>6</w:t>
            </w:r>
            <w:r w:rsidRPr="006A2581">
              <w:t xml:space="preserve"> </w:t>
            </w:r>
            <w:r w:rsidRPr="006A2581">
              <w:rPr>
                <w:noProof/>
              </w:rPr>
              <w:t>Projets conjoints de réintégration</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noProof/>
              </w:rPr>
              <w:t>OS</w:t>
            </w:r>
            <w:r w:rsidRPr="006A2581">
              <w:rPr>
                <w:noProof/>
              </w:rPr>
              <w:t>3</w:t>
            </w:r>
            <w:r>
              <w:t>.</w:t>
            </w:r>
            <w:r>
              <w:rPr>
                <w:noProof/>
              </w:rPr>
              <w:t>AS</w:t>
            </w:r>
            <w:r w:rsidRPr="006A2581">
              <w:rPr>
                <w:noProof/>
              </w:rPr>
              <w:t>7</w:t>
            </w:r>
            <w:r w:rsidRPr="006A2581">
              <w:t xml:space="preserve"> </w:t>
            </w:r>
            <w:r w:rsidRPr="006A2581">
              <w:rPr>
                <w:noProof/>
              </w:rPr>
              <w:t>Unité familiale et réintégration des mineurs non accompagnés</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9A4CFA">
              <w:rPr>
                <w:b/>
                <w:noProof/>
              </w:rPr>
              <w:t>TOTAL AS OS</w:t>
            </w:r>
            <w:r w:rsidRPr="009A4CFA">
              <w:rPr>
                <w:b/>
                <w:noProof/>
              </w:rPr>
              <w:t>3</w:t>
            </w:r>
            <w:r>
              <w:rPr>
                <w:b/>
              </w:rPr>
              <w:t xml:space="preserve"> </w:t>
            </w:r>
            <w:r w:rsidRPr="006A2581">
              <w:rPr>
                <w:b/>
                <w:noProof/>
              </w:rPr>
              <w:t>Retour</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BF173C">
              <w:rPr>
                <w:b/>
                <w:noProof/>
              </w:rPr>
              <w:t>7 753 663,12</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4D33AE">
              <w:rPr>
                <w:b/>
                <w:noProof/>
              </w:rPr>
              <w:t>TOTAL</w:t>
            </w:r>
            <w:r>
              <w:t xml:space="preserve"> </w:t>
            </w:r>
            <w:r w:rsidRPr="00CC0A0F">
              <w:rPr>
                <w:b/>
                <w:noProof/>
              </w:rPr>
              <w:t>OS</w:t>
            </w:r>
            <w:r w:rsidRPr="006A2581">
              <w:rPr>
                <w:b/>
                <w:noProof/>
              </w:rPr>
              <w:t>3</w:t>
            </w:r>
            <w:r w:rsidRPr="006A2581">
              <w:rPr>
                <w:b/>
              </w:rPr>
              <w:t xml:space="preserve"> </w:t>
            </w:r>
            <w:r w:rsidRPr="006A2581">
              <w:rPr>
                <w:b/>
                <w:noProof/>
              </w:rPr>
              <w:t>Retour</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5665CE">
              <w:rPr>
                <w:b/>
                <w:noProof/>
              </w:rPr>
              <w:t>42 401 529,22</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4D33AE">
              <w:rPr>
                <w:b/>
                <w:noProof/>
              </w:rPr>
              <w:t>TOTAL</w:t>
            </w:r>
            <w:r>
              <w:t xml:space="preserve"> </w:t>
            </w:r>
            <w:r w:rsidRPr="00CC0A0F">
              <w:rPr>
                <w:b/>
                <w:noProof/>
              </w:rPr>
              <w:t>OS</w:t>
            </w:r>
            <w:r w:rsidRPr="006A2581">
              <w:rPr>
                <w:b/>
                <w:noProof/>
              </w:rPr>
              <w:t>4</w:t>
            </w:r>
            <w:r w:rsidRPr="006A2581">
              <w:rPr>
                <w:b/>
              </w:rPr>
              <w:t xml:space="preserve"> </w:t>
            </w:r>
            <w:r w:rsidRPr="006A2581">
              <w:rPr>
                <w:b/>
                <w:noProof/>
              </w:rPr>
              <w:t>Solidarité</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5665CE">
              <w:rPr>
                <w:b/>
                <w:noProof/>
              </w:rPr>
              <w:t>0,00</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AE358A">
              <w:rPr>
                <w:noProof/>
              </w:rPr>
              <w:t>Assistance technique</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Pr>
                <w:noProof/>
              </w:rPr>
              <w:t>7 546 577,84</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Pr>
                <w:b/>
                <w:noProof/>
              </w:rPr>
              <w:t>TOTAL Cas spéciaux</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6D4487">
              <w:rPr>
                <w:b/>
                <w:noProof/>
              </w:rPr>
              <w:t>55 994 000,00</w:t>
            </w:r>
            <w:r>
              <w:t xml:space="preserve"> </w:t>
            </w:r>
            <w:r w:rsidRPr="00F656F8">
              <w:t xml:space="preserve"> </w:t>
            </w:r>
          </w:p>
        </w:tc>
      </w:tr>
      <w:tr w:rsidTr="00376681">
        <w:tblPrEx>
          <w:tblW w:w="5000" w:type="pct"/>
          <w:tblInd w:w="88" w:type="dxa"/>
          <w:tblLook w:val="0000"/>
        </w:tblPrEx>
        <w:trPr>
          <w:trHeight w:val="340"/>
        </w:trPr>
        <w:tc>
          <w:tcPr>
            <w:tcBorders>
              <w:top w:val="single" w:sz="4" w:space="0" w:color="auto"/>
              <w:left w:val="single" w:sz="4" w:space="0" w:color="auto"/>
              <w:bottom w:val="single" w:sz="4" w:space="0" w:color="auto"/>
              <w:right w:val="single" w:sz="4" w:space="0" w:color="auto"/>
            </w:tcBorders>
            <w:shd w:val="clear" w:color="auto" w:fill="auto"/>
          </w:tcPr>
          <w:p w:rsidR="0084560F" w:rsidRPr="006A2581" w:rsidP="00C13D6C">
            <w:pPr>
              <w:pStyle w:val="NormalLeft"/>
              <w:spacing w:before="0" w:after="0"/>
            </w:pPr>
            <w:r w:rsidRPr="008A1A2B">
              <w:rPr>
                <w:b/>
                <w:noProof/>
              </w:rPr>
              <w:t>TOTAL</w:t>
            </w:r>
          </w:p>
        </w:tc>
        <w:tc>
          <w:tcPr>
            <w:tcBorders>
              <w:top w:val="single" w:sz="4" w:space="0" w:color="auto"/>
              <w:left w:val="single" w:sz="4" w:space="0" w:color="auto"/>
              <w:bottom w:val="single" w:sz="4" w:space="0" w:color="auto"/>
              <w:right w:val="single" w:sz="4" w:space="0" w:color="auto"/>
            </w:tcBorders>
            <w:shd w:val="clear" w:color="auto" w:fill="auto"/>
          </w:tcPr>
          <w:p w:rsidR="0084560F" w:rsidRPr="00F656F8" w:rsidP="00C13D6C">
            <w:pPr>
              <w:pStyle w:val="NormalRight"/>
              <w:spacing w:before="0" w:after="0"/>
            </w:pPr>
            <w:r w:rsidRPr="00C1438A">
              <w:rPr>
                <w:b/>
                <w:noProof/>
              </w:rPr>
              <w:t>179 127 447,12</w:t>
            </w:r>
          </w:p>
        </w:tc>
      </w:tr>
    </w:tbl>
    <w:p w:rsidR="0084560F" w:rsidP="00C13D6C">
      <w:pPr>
        <w:spacing w:before="0" w:after="0"/>
        <w:rPr>
          <w:rFonts w:eastAsia="Arial Unicode MS"/>
        </w:rPr>
      </w:pPr>
    </w:p>
    <w:p w:rsidR="0084560F" w:rsidP="00C13D6C">
      <w:pPr>
        <w:spacing w:before="0" w:after="0"/>
        <w:jc w:val="left"/>
        <w:rPr>
          <w:rFonts w:eastAsia="Arial Unicode MS"/>
        </w:rPr>
        <w:sectPr w:rsidSect="00376681">
          <w:pgSz w:w="11906" w:h="16838" w:code="9"/>
          <w:pgMar w:top="1134" w:right="1417" w:bottom="1134" w:left="1417" w:header="567" w:footer="567" w:gutter="0"/>
          <w:cols w:space="708"/>
          <w:docGrid w:linePitch="360"/>
        </w:sectPr>
      </w:pPr>
    </w:p>
    <w:p w:rsidR="0084560F" w:rsidP="00C13D6C">
      <w:pPr>
        <w:pStyle w:val="Heading2"/>
        <w:numPr>
          <w:ilvl w:val="0"/>
          <w:numId w:val="0"/>
        </w:numPr>
        <w:spacing w:before="0" w:after="0"/>
        <w:ind w:left="850" w:hanging="850"/>
        <w:rPr>
          <w:rFonts w:eastAsia="Arial Unicode MS"/>
        </w:rPr>
      </w:pPr>
      <w:bookmarkStart w:id="198" w:name="_Toc256000031"/>
      <w:bookmarkStart w:id="199" w:name="_Toc256000089"/>
      <w:bookmarkStart w:id="200" w:name="_Toc256000147"/>
      <w:bookmarkStart w:id="201" w:name="_Toc256000205"/>
      <w:r w:rsidRPr="00EA12D4">
        <w:rPr>
          <w:rFonts w:eastAsia="Arial Unicode MS"/>
          <w:noProof/>
        </w:rPr>
        <w:t>Tableau 2: Engagements pour les cas spéciaux</w:t>
      </w:r>
      <w:bookmarkEnd w:id="201"/>
      <w:bookmarkEnd w:id="200"/>
      <w:bookmarkEnd w:id="199"/>
      <w:bookmarkEnd w:id="198"/>
    </w:p>
    <w:tbl>
      <w:tblPr>
        <w:tblStyle w:val="TableNormal"/>
        <w:tblW w:w="5000" w:type="pc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909"/>
        <w:gridCol w:w="865"/>
        <w:gridCol w:w="865"/>
        <w:gridCol w:w="930"/>
        <w:gridCol w:w="930"/>
        <w:gridCol w:w="908"/>
        <w:gridCol w:w="908"/>
        <w:gridCol w:w="908"/>
        <w:gridCol w:w="930"/>
      </w:tblGrid>
      <w:tr w:rsidTr="00376681">
        <w:tblPrEx>
          <w:tblW w:w="5000" w:type="pc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Ex>
        <w:trPr>
          <w:trHeight w:val="525"/>
        </w:trPr>
        <w:tc>
          <w:tcPr>
            <w:shd w:val="clear" w:color="auto" w:fill="auto"/>
          </w:tcPr>
          <w:p w:rsidR="0084560F" w:rsidRPr="00201DE0" w:rsidP="00C13D6C">
            <w:pPr>
              <w:spacing w:before="0" w:after="0"/>
              <w:jc w:val="left"/>
              <w:rPr>
                <w:b/>
                <w:sz w:val="12"/>
                <w:szCs w:val="12"/>
              </w:rPr>
            </w:pPr>
            <w:r w:rsidRPr="00201DE0">
              <w:rPr>
                <w:b/>
                <w:noProof/>
                <w:sz w:val="12"/>
                <w:szCs w:val="12"/>
              </w:rPr>
              <w:t>Engagements pour les cas spéciaux</w:t>
            </w:r>
          </w:p>
        </w:tc>
        <w:tc>
          <w:tcPr>
            <w:shd w:val="clear" w:color="auto" w:fill="auto"/>
          </w:tcPr>
          <w:p w:rsidR="0084560F" w:rsidRPr="00201DE0" w:rsidP="00C13D6C">
            <w:pPr>
              <w:spacing w:before="0" w:after="0"/>
              <w:jc w:val="center"/>
              <w:rPr>
                <w:b/>
                <w:sz w:val="12"/>
                <w:szCs w:val="12"/>
              </w:rPr>
            </w:pPr>
            <w:r w:rsidRPr="00201DE0">
              <w:rPr>
                <w:b/>
                <w:sz w:val="12"/>
                <w:szCs w:val="12"/>
              </w:rPr>
              <w:t>2014</w:t>
            </w:r>
          </w:p>
        </w:tc>
        <w:tc>
          <w:tcPr/>
          <w:p w:rsidR="0084560F" w:rsidRPr="00201DE0" w:rsidP="00C13D6C">
            <w:pPr>
              <w:spacing w:before="0" w:after="0"/>
              <w:jc w:val="center"/>
              <w:rPr>
                <w:b/>
                <w:sz w:val="12"/>
                <w:szCs w:val="12"/>
              </w:rPr>
            </w:pPr>
            <w:r w:rsidRPr="00201DE0">
              <w:rPr>
                <w:b/>
                <w:sz w:val="12"/>
                <w:szCs w:val="12"/>
              </w:rPr>
              <w:t>2015</w:t>
            </w:r>
          </w:p>
        </w:tc>
        <w:tc>
          <w:tcPr/>
          <w:p w:rsidR="0084560F" w:rsidRPr="00201DE0" w:rsidP="00C13D6C">
            <w:pPr>
              <w:spacing w:before="0" w:after="0"/>
              <w:jc w:val="center"/>
              <w:rPr>
                <w:b/>
                <w:sz w:val="12"/>
                <w:szCs w:val="12"/>
              </w:rPr>
            </w:pPr>
            <w:r w:rsidRPr="00201DE0">
              <w:rPr>
                <w:b/>
                <w:sz w:val="12"/>
                <w:szCs w:val="12"/>
              </w:rPr>
              <w:t>2016</w:t>
            </w:r>
          </w:p>
        </w:tc>
        <w:tc>
          <w:tcPr/>
          <w:p w:rsidR="0084560F" w:rsidRPr="00201DE0" w:rsidP="00C13D6C">
            <w:pPr>
              <w:spacing w:before="0" w:after="0"/>
              <w:jc w:val="center"/>
              <w:rPr>
                <w:b/>
                <w:sz w:val="12"/>
                <w:szCs w:val="12"/>
              </w:rPr>
            </w:pPr>
            <w:r w:rsidRPr="00201DE0">
              <w:rPr>
                <w:b/>
                <w:sz w:val="12"/>
                <w:szCs w:val="12"/>
              </w:rPr>
              <w:t>2017</w:t>
            </w:r>
          </w:p>
        </w:tc>
        <w:tc>
          <w:tcPr/>
          <w:p w:rsidR="0084560F" w:rsidRPr="00201DE0" w:rsidP="00C13D6C">
            <w:pPr>
              <w:spacing w:before="0" w:after="0"/>
              <w:jc w:val="center"/>
              <w:rPr>
                <w:b/>
                <w:sz w:val="12"/>
                <w:szCs w:val="12"/>
              </w:rPr>
            </w:pPr>
            <w:r w:rsidRPr="00201DE0">
              <w:rPr>
                <w:b/>
                <w:sz w:val="12"/>
                <w:szCs w:val="12"/>
              </w:rPr>
              <w:t>2018</w:t>
            </w:r>
          </w:p>
        </w:tc>
        <w:tc>
          <w:tcPr/>
          <w:p w:rsidR="0084560F" w:rsidRPr="00201DE0" w:rsidP="00C13D6C">
            <w:pPr>
              <w:spacing w:before="0" w:after="0"/>
              <w:jc w:val="center"/>
              <w:rPr>
                <w:b/>
                <w:sz w:val="12"/>
                <w:szCs w:val="12"/>
              </w:rPr>
            </w:pPr>
            <w:r w:rsidRPr="00201DE0">
              <w:rPr>
                <w:b/>
                <w:sz w:val="12"/>
                <w:szCs w:val="12"/>
              </w:rPr>
              <w:t>2019</w:t>
            </w:r>
          </w:p>
        </w:tc>
        <w:tc>
          <w:tcPr>
            <w:shd w:val="clear" w:color="auto" w:fill="auto"/>
          </w:tcPr>
          <w:p w:rsidR="0084560F" w:rsidRPr="00201DE0" w:rsidP="00C13D6C">
            <w:pPr>
              <w:spacing w:before="0" w:after="0"/>
              <w:jc w:val="center"/>
              <w:rPr>
                <w:b/>
                <w:sz w:val="12"/>
                <w:szCs w:val="12"/>
              </w:rPr>
            </w:pPr>
            <w:r w:rsidRPr="00201DE0">
              <w:rPr>
                <w:b/>
                <w:sz w:val="12"/>
                <w:szCs w:val="12"/>
              </w:rPr>
              <w:t>2020</w:t>
            </w:r>
          </w:p>
        </w:tc>
        <w:tc>
          <w:tcPr>
            <w:shd w:val="clear" w:color="auto" w:fill="auto"/>
          </w:tcPr>
          <w:p w:rsidR="0084560F" w:rsidRPr="00201DE0" w:rsidP="00C13D6C">
            <w:pPr>
              <w:spacing w:before="0" w:after="0"/>
              <w:jc w:val="center"/>
              <w:rPr>
                <w:b/>
                <w:sz w:val="12"/>
                <w:szCs w:val="12"/>
              </w:rPr>
            </w:pPr>
            <w:r w:rsidRPr="00201DE0">
              <w:rPr>
                <w:b/>
                <w:noProof/>
                <w:sz w:val="12"/>
                <w:szCs w:val="12"/>
              </w:rPr>
              <w:t>Total</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réinstallation</w:t>
            </w:r>
          </w:p>
        </w:tc>
        <w:tc>
          <w:tcPr>
            <w:shd w:val="clear" w:color="auto" w:fill="auto"/>
          </w:tcPr>
          <w:p w:rsidR="0084560F" w:rsidRPr="007314B2" w:rsidP="00C13D6C">
            <w:pPr>
              <w:spacing w:before="0" w:after="0"/>
              <w:jc w:val="right"/>
              <w:rPr>
                <w:sz w:val="10"/>
                <w:szCs w:val="10"/>
              </w:rPr>
            </w:pPr>
            <w:r w:rsidRPr="007314B2">
              <w:rPr>
                <w:noProof/>
                <w:sz w:val="10"/>
                <w:szCs w:val="10"/>
              </w:rPr>
              <w:t>2 000 000,00</w:t>
            </w:r>
          </w:p>
        </w:tc>
        <w:tc>
          <w:tcPr/>
          <w:p w:rsidR="0084560F" w:rsidRPr="007314B2" w:rsidP="00C13D6C">
            <w:pPr>
              <w:spacing w:before="0" w:after="0"/>
              <w:jc w:val="right"/>
              <w:rPr>
                <w:sz w:val="10"/>
                <w:szCs w:val="10"/>
              </w:rPr>
            </w:pPr>
            <w:r w:rsidRPr="007314B2">
              <w:rPr>
                <w:noProof/>
                <w:sz w:val="10"/>
                <w:szCs w:val="10"/>
              </w:rPr>
              <w:t>2 000 000,00</w:t>
            </w:r>
          </w:p>
        </w:tc>
        <w:tc>
          <w:tcPr/>
          <w:p w:rsidR="0084560F" w:rsidRPr="007314B2" w:rsidP="00C13D6C">
            <w:pPr>
              <w:spacing w:before="0" w:after="0"/>
              <w:jc w:val="right"/>
              <w:rPr>
                <w:sz w:val="10"/>
                <w:szCs w:val="10"/>
              </w:rPr>
            </w:pPr>
            <w:r w:rsidRPr="007314B2">
              <w:rPr>
                <w:noProof/>
                <w:sz w:val="10"/>
                <w:szCs w:val="10"/>
              </w:rPr>
              <w:t>5 500 000,00</w:t>
            </w:r>
          </w:p>
        </w:tc>
        <w:tc>
          <w:tcPr/>
          <w:p w:rsidR="0084560F" w:rsidRPr="007314B2" w:rsidP="00C13D6C">
            <w:pPr>
              <w:spacing w:before="0" w:after="0"/>
              <w:jc w:val="right"/>
              <w:rPr>
                <w:sz w:val="10"/>
                <w:szCs w:val="10"/>
              </w:rPr>
            </w:pPr>
            <w:r w:rsidRPr="007314B2">
              <w:rPr>
                <w:noProof/>
                <w:sz w:val="10"/>
                <w:szCs w:val="10"/>
              </w:rPr>
              <w:t>5 500 000,00</w:t>
            </w:r>
          </w:p>
        </w:tc>
        <w:tc>
          <w:tcPr/>
          <w:p w:rsidR="0084560F" w:rsidRPr="007314B2" w:rsidP="00C13D6C">
            <w:pPr>
              <w:spacing w:before="0" w:after="0"/>
              <w:jc w:val="right"/>
              <w:rPr>
                <w:sz w:val="10"/>
                <w:szCs w:val="10"/>
              </w:rPr>
            </w:pPr>
            <w:r w:rsidRPr="007314B2">
              <w:rPr>
                <w:noProof/>
                <w:sz w:val="10"/>
                <w:szCs w:val="10"/>
              </w:rPr>
              <w:t>7 883 333,00</w:t>
            </w:r>
          </w:p>
        </w:tc>
        <w:tc>
          <w:tcPr/>
          <w:p w:rsidR="0084560F" w:rsidRPr="007314B2" w:rsidP="00C13D6C">
            <w:pPr>
              <w:spacing w:before="0" w:after="0"/>
              <w:jc w:val="right"/>
              <w:rPr>
                <w:sz w:val="10"/>
                <w:szCs w:val="10"/>
              </w:rPr>
            </w:pPr>
            <w:r w:rsidRPr="007314B2">
              <w:rPr>
                <w:noProof/>
                <w:sz w:val="10"/>
                <w:szCs w:val="10"/>
              </w:rPr>
              <w:t>7 883 333,00</w:t>
            </w:r>
          </w:p>
        </w:tc>
        <w:tc>
          <w:tcPr>
            <w:shd w:val="clear" w:color="auto" w:fill="auto"/>
          </w:tcPr>
          <w:p w:rsidR="0084560F" w:rsidRPr="007314B2" w:rsidP="00C13D6C">
            <w:pPr>
              <w:spacing w:before="0" w:after="0"/>
              <w:jc w:val="right"/>
              <w:rPr>
                <w:sz w:val="10"/>
                <w:szCs w:val="10"/>
              </w:rPr>
            </w:pPr>
            <w:r w:rsidRPr="007314B2">
              <w:rPr>
                <w:noProof/>
                <w:sz w:val="10"/>
                <w:szCs w:val="10"/>
              </w:rPr>
              <w:t>7 883 334,00</w:t>
            </w:r>
          </w:p>
        </w:tc>
        <w:tc>
          <w:tcPr>
            <w:shd w:val="clear" w:color="auto" w:fill="auto"/>
          </w:tcPr>
          <w:p w:rsidR="0084560F" w:rsidRPr="007314B2" w:rsidP="00C13D6C">
            <w:pPr>
              <w:spacing w:before="0" w:after="0"/>
              <w:jc w:val="right"/>
              <w:rPr>
                <w:b/>
                <w:sz w:val="10"/>
                <w:szCs w:val="10"/>
              </w:rPr>
            </w:pPr>
            <w:r w:rsidRPr="007314B2">
              <w:rPr>
                <w:b/>
                <w:noProof/>
                <w:sz w:val="10"/>
                <w:szCs w:val="10"/>
              </w:rPr>
              <w:t>38 650 000,00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relocalisation (2015/1523)</w:t>
            </w:r>
          </w:p>
        </w:tc>
        <w:tc>
          <w:tcPr>
            <w:shd w:val="clear" w:color="auto" w:fill="auto"/>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r w:rsidRPr="007314B2">
              <w:rPr>
                <w:noProof/>
                <w:sz w:val="10"/>
                <w:szCs w:val="10"/>
              </w:rPr>
              <w:t>4 038 000,00</w:t>
            </w:r>
          </w:p>
        </w:tc>
        <w:tc>
          <w:tcPr/>
          <w:p w:rsidR="0084560F" w:rsidRPr="007314B2" w:rsidP="00C13D6C">
            <w:pPr>
              <w:spacing w:before="0" w:after="0"/>
              <w:jc w:val="right"/>
              <w:rPr>
                <w:sz w:val="10"/>
                <w:szCs w:val="10"/>
              </w:rPr>
            </w:pPr>
            <w:r w:rsidRPr="007314B2">
              <w:rPr>
                <w:noProof/>
                <w:sz w:val="10"/>
                <w:szCs w:val="10"/>
              </w:rPr>
              <w:t>4 038 000,00</w:t>
            </w:r>
          </w:p>
        </w:tc>
        <w:tc>
          <w:tcPr/>
          <w:p w:rsidR="0084560F" w:rsidRPr="007314B2" w:rsidP="00C13D6C">
            <w:pPr>
              <w:spacing w:before="0" w:after="0"/>
              <w:jc w:val="right"/>
              <w:rPr>
                <w:sz w:val="10"/>
                <w:szCs w:val="10"/>
              </w:rPr>
            </w:pPr>
            <w:r w:rsidRPr="007314B2">
              <w:rPr>
                <w:noProof/>
                <w:sz w:val="10"/>
                <w:szCs w:val="10"/>
              </w:rPr>
              <w:t>-1 512 000,00</w:t>
            </w:r>
          </w:p>
        </w:tc>
        <w:tc>
          <w:tcPr/>
          <w:p w:rsidR="0084560F" w:rsidRPr="007314B2" w:rsidP="00C13D6C">
            <w:pPr>
              <w:spacing w:before="0" w:after="0"/>
              <w:jc w:val="right"/>
              <w:rPr>
                <w:sz w:val="10"/>
                <w:szCs w:val="10"/>
              </w:rPr>
            </w:pPr>
            <w:r w:rsidRPr="007314B2">
              <w:rPr>
                <w:noProof/>
                <w:sz w:val="10"/>
                <w:szCs w:val="10"/>
              </w:rPr>
              <w:t>-1 512 000,00</w:t>
            </w:r>
          </w:p>
        </w:tc>
        <w:tc>
          <w:tcPr>
            <w:shd w:val="clear" w:color="auto" w:fill="auto"/>
          </w:tcPr>
          <w:p w:rsidR="0084560F" w:rsidRPr="007314B2" w:rsidP="00C13D6C">
            <w:pPr>
              <w:spacing w:before="0" w:after="0"/>
              <w:jc w:val="right"/>
              <w:rPr>
                <w:sz w:val="10"/>
                <w:szCs w:val="10"/>
              </w:rPr>
            </w:pPr>
            <w:r w:rsidRPr="007314B2">
              <w:rPr>
                <w:noProof/>
                <w:sz w:val="10"/>
                <w:szCs w:val="10"/>
              </w:rPr>
              <w:t>-1 512 000,00</w:t>
            </w:r>
          </w:p>
        </w:tc>
        <w:tc>
          <w:tcPr>
            <w:shd w:val="clear" w:color="auto" w:fill="auto"/>
          </w:tcPr>
          <w:p w:rsidR="0084560F" w:rsidRPr="007314B2" w:rsidP="00C13D6C">
            <w:pPr>
              <w:spacing w:before="0" w:after="0"/>
              <w:jc w:val="right"/>
              <w:rPr>
                <w:b/>
                <w:sz w:val="10"/>
                <w:szCs w:val="10"/>
              </w:rPr>
            </w:pPr>
            <w:r w:rsidRPr="007314B2">
              <w:rPr>
                <w:b/>
                <w:noProof/>
                <w:sz w:val="10"/>
                <w:szCs w:val="10"/>
              </w:rPr>
              <w:t>3 540 000,00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relocalisation (2015/1601)</w:t>
            </w:r>
          </w:p>
        </w:tc>
        <w:tc>
          <w:tcPr>
            <w:shd w:val="clear" w:color="auto" w:fill="auto"/>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r w:rsidRPr="007314B2">
              <w:rPr>
                <w:noProof/>
                <w:sz w:val="10"/>
                <w:szCs w:val="10"/>
              </w:rPr>
              <w:t>7 344 000,00</w:t>
            </w:r>
          </w:p>
        </w:tc>
        <w:tc>
          <w:tcPr/>
          <w:p w:rsidR="0084560F" w:rsidRPr="007314B2" w:rsidP="00C13D6C">
            <w:pPr>
              <w:spacing w:before="0" w:after="0"/>
              <w:jc w:val="right"/>
              <w:rPr>
                <w:sz w:val="10"/>
                <w:szCs w:val="10"/>
              </w:rPr>
            </w:pPr>
            <w:r w:rsidRPr="007314B2">
              <w:rPr>
                <w:noProof/>
                <w:sz w:val="10"/>
                <w:szCs w:val="10"/>
              </w:rPr>
              <w:t>7 344 000,00</w:t>
            </w:r>
          </w:p>
        </w:tc>
        <w:tc>
          <w:tcPr/>
          <w:p w:rsidR="0084560F" w:rsidRPr="007314B2" w:rsidP="00C13D6C">
            <w:pPr>
              <w:spacing w:before="0" w:after="0"/>
              <w:jc w:val="right"/>
              <w:rPr>
                <w:sz w:val="10"/>
                <w:szCs w:val="10"/>
              </w:rPr>
            </w:pPr>
            <w:r w:rsidRPr="007314B2">
              <w:rPr>
                <w:noProof/>
                <w:sz w:val="10"/>
                <w:szCs w:val="10"/>
              </w:rPr>
              <w:t>-3 744 000,00</w:t>
            </w:r>
          </w:p>
        </w:tc>
        <w:tc>
          <w:tcPr/>
          <w:p w:rsidR="0084560F" w:rsidRPr="007314B2" w:rsidP="00C13D6C">
            <w:pPr>
              <w:spacing w:before="0" w:after="0"/>
              <w:jc w:val="right"/>
              <w:rPr>
                <w:sz w:val="10"/>
                <w:szCs w:val="10"/>
              </w:rPr>
            </w:pPr>
            <w:r w:rsidRPr="007314B2">
              <w:rPr>
                <w:noProof/>
                <w:sz w:val="10"/>
                <w:szCs w:val="10"/>
              </w:rPr>
              <w:t>-3 744 000,00</w:t>
            </w:r>
          </w:p>
        </w:tc>
        <w:tc>
          <w:tcPr>
            <w:shd w:val="clear" w:color="auto" w:fill="auto"/>
          </w:tcPr>
          <w:p w:rsidR="0084560F" w:rsidRPr="007314B2" w:rsidP="00C13D6C">
            <w:pPr>
              <w:spacing w:before="0" w:after="0"/>
              <w:jc w:val="right"/>
              <w:rPr>
                <w:sz w:val="10"/>
                <w:szCs w:val="10"/>
              </w:rPr>
            </w:pPr>
            <w:r w:rsidRPr="007314B2">
              <w:rPr>
                <w:noProof/>
                <w:sz w:val="10"/>
                <w:szCs w:val="10"/>
              </w:rPr>
              <w:t>-3 744 000,00</w:t>
            </w:r>
          </w:p>
        </w:tc>
        <w:tc>
          <w:tcPr>
            <w:shd w:val="clear" w:color="auto" w:fill="auto"/>
          </w:tcPr>
          <w:p w:rsidR="0084560F" w:rsidRPr="007314B2" w:rsidP="00C13D6C">
            <w:pPr>
              <w:spacing w:before="0" w:after="0"/>
              <w:jc w:val="right"/>
              <w:rPr>
                <w:b/>
                <w:sz w:val="10"/>
                <w:szCs w:val="10"/>
              </w:rPr>
            </w:pPr>
            <w:r w:rsidRPr="007314B2">
              <w:rPr>
                <w:b/>
                <w:noProof/>
                <w:sz w:val="10"/>
                <w:szCs w:val="10"/>
              </w:rPr>
              <w:t>3 456 000,00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relocalisations ÉM</w:t>
            </w:r>
          </w:p>
        </w:tc>
        <w:tc>
          <w:tcPr>
            <w:shd w:val="clear" w:color="auto" w:fill="auto"/>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shd w:val="clear" w:color="auto" w:fill="auto"/>
          </w:tcPr>
          <w:p w:rsidR="0084560F" w:rsidRPr="007314B2" w:rsidP="00C13D6C">
            <w:pPr>
              <w:spacing w:before="0" w:after="0"/>
              <w:jc w:val="right"/>
              <w:rPr>
                <w:sz w:val="10"/>
                <w:szCs w:val="10"/>
              </w:rPr>
            </w:pPr>
          </w:p>
        </w:tc>
        <w:tc>
          <w:tcPr>
            <w:shd w:val="clear" w:color="auto" w:fill="auto"/>
          </w:tcPr>
          <w:p w:rsidR="0084560F" w:rsidRPr="007314B2" w:rsidP="00C13D6C">
            <w:pPr>
              <w:spacing w:before="0" w:after="0"/>
              <w:jc w:val="right"/>
              <w:rPr>
                <w:b/>
                <w:sz w:val="10"/>
                <w:szCs w:val="10"/>
              </w:rPr>
            </w:pPr>
            <w:r w:rsidRPr="007314B2">
              <w:rPr>
                <w:b/>
                <w:noProof/>
                <w:sz w:val="10"/>
                <w:szCs w:val="10"/>
              </w:rPr>
              <w:t>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transferts</w:t>
            </w:r>
          </w:p>
        </w:tc>
        <w:tc>
          <w:tcPr>
            <w:shd w:val="clear" w:color="auto" w:fill="auto"/>
          </w:tcPr>
          <w:p w:rsidR="0084560F" w:rsidRPr="007314B2" w:rsidP="00C13D6C">
            <w:pPr>
              <w:spacing w:before="0" w:after="0"/>
              <w:jc w:val="right"/>
              <w:rPr>
                <w:sz w:val="10"/>
                <w:szCs w:val="10"/>
              </w:rPr>
            </w:pPr>
            <w:r w:rsidRPr="007314B2">
              <w:rPr>
                <w:noProof/>
                <w:sz w:val="10"/>
                <w:szCs w:val="10"/>
              </w:rPr>
              <w:t>0,00</w:t>
            </w:r>
          </w:p>
        </w:tc>
        <w:tc>
          <w:tcPr/>
          <w:p w:rsidR="0084560F" w:rsidRPr="007314B2" w:rsidP="00C13D6C">
            <w:pPr>
              <w:spacing w:before="0" w:after="0"/>
              <w:jc w:val="right"/>
              <w:rPr>
                <w:sz w:val="10"/>
                <w:szCs w:val="10"/>
              </w:rPr>
            </w:pPr>
            <w:r w:rsidRPr="007314B2">
              <w:rPr>
                <w:noProof/>
                <w:sz w:val="10"/>
                <w:szCs w:val="10"/>
              </w:rPr>
              <w:t>0,00</w:t>
            </w: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shd w:val="clear" w:color="auto" w:fill="auto"/>
          </w:tcPr>
          <w:p w:rsidR="0084560F" w:rsidRPr="007314B2" w:rsidP="00C13D6C">
            <w:pPr>
              <w:spacing w:before="0" w:after="0"/>
              <w:jc w:val="right"/>
              <w:rPr>
                <w:sz w:val="10"/>
                <w:szCs w:val="10"/>
              </w:rPr>
            </w:pPr>
          </w:p>
        </w:tc>
        <w:tc>
          <w:tcPr>
            <w:shd w:val="clear" w:color="auto" w:fill="auto"/>
          </w:tcPr>
          <w:p w:rsidR="0084560F" w:rsidRPr="007314B2" w:rsidP="00C13D6C">
            <w:pPr>
              <w:spacing w:before="0" w:after="0"/>
              <w:jc w:val="right"/>
              <w:rPr>
                <w:b/>
                <w:sz w:val="10"/>
                <w:szCs w:val="10"/>
              </w:rPr>
            </w:pPr>
            <w:r w:rsidRPr="007314B2">
              <w:rPr>
                <w:b/>
                <w:noProof/>
                <w:sz w:val="10"/>
                <w:szCs w:val="10"/>
              </w:rPr>
              <w:t>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noProof/>
                <w:sz w:val="10"/>
                <w:szCs w:val="10"/>
              </w:rPr>
              <w:t>Total des admissions depuis la Turquie (2016/1754)</w:t>
            </w:r>
          </w:p>
        </w:tc>
        <w:tc>
          <w:tcPr>
            <w:shd w:val="clear" w:color="auto" w:fill="auto"/>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p>
        </w:tc>
        <w:tc>
          <w:tcPr/>
          <w:p w:rsidR="0084560F" w:rsidRPr="007314B2" w:rsidP="00C13D6C">
            <w:pPr>
              <w:spacing w:before="0" w:after="0"/>
              <w:jc w:val="right"/>
              <w:rPr>
                <w:sz w:val="10"/>
                <w:szCs w:val="10"/>
              </w:rPr>
            </w:pPr>
            <w:r w:rsidRPr="007314B2">
              <w:rPr>
                <w:noProof/>
                <w:sz w:val="10"/>
                <w:szCs w:val="10"/>
              </w:rPr>
              <w:t>6 396 000,00</w:t>
            </w:r>
          </w:p>
        </w:tc>
        <w:tc>
          <w:tcPr/>
          <w:p w:rsidR="0084560F" w:rsidRPr="007314B2" w:rsidP="00C13D6C">
            <w:pPr>
              <w:spacing w:before="0" w:after="0"/>
              <w:jc w:val="right"/>
              <w:rPr>
                <w:sz w:val="10"/>
                <w:szCs w:val="10"/>
              </w:rPr>
            </w:pPr>
            <w:r w:rsidRPr="007314B2">
              <w:rPr>
                <w:noProof/>
                <w:sz w:val="10"/>
                <w:szCs w:val="10"/>
              </w:rPr>
              <w:t>6 396 000,00</w:t>
            </w:r>
          </w:p>
        </w:tc>
        <w:tc>
          <w:tcPr/>
          <w:p w:rsidR="0084560F" w:rsidRPr="007314B2" w:rsidP="00C13D6C">
            <w:pPr>
              <w:spacing w:before="0" w:after="0"/>
              <w:jc w:val="right"/>
              <w:rPr>
                <w:sz w:val="10"/>
                <w:szCs w:val="10"/>
              </w:rPr>
            </w:pPr>
            <w:r w:rsidRPr="007314B2">
              <w:rPr>
                <w:noProof/>
                <w:sz w:val="10"/>
                <w:szCs w:val="10"/>
              </w:rPr>
              <w:t>-814 667,00</w:t>
            </w:r>
          </w:p>
        </w:tc>
        <w:tc>
          <w:tcPr/>
          <w:p w:rsidR="0084560F" w:rsidRPr="007314B2" w:rsidP="00C13D6C">
            <w:pPr>
              <w:spacing w:before="0" w:after="0"/>
              <w:jc w:val="right"/>
              <w:rPr>
                <w:sz w:val="10"/>
                <w:szCs w:val="10"/>
              </w:rPr>
            </w:pPr>
            <w:r w:rsidRPr="007314B2">
              <w:rPr>
                <w:noProof/>
                <w:sz w:val="10"/>
                <w:szCs w:val="10"/>
              </w:rPr>
              <w:t>-814 667,00</w:t>
            </w:r>
          </w:p>
        </w:tc>
        <w:tc>
          <w:tcPr>
            <w:shd w:val="clear" w:color="auto" w:fill="auto"/>
          </w:tcPr>
          <w:p w:rsidR="0084560F" w:rsidRPr="007314B2" w:rsidP="00C13D6C">
            <w:pPr>
              <w:spacing w:before="0" w:after="0"/>
              <w:jc w:val="right"/>
              <w:rPr>
                <w:sz w:val="10"/>
                <w:szCs w:val="10"/>
              </w:rPr>
            </w:pPr>
            <w:r w:rsidRPr="007314B2">
              <w:rPr>
                <w:noProof/>
                <w:sz w:val="10"/>
                <w:szCs w:val="10"/>
              </w:rPr>
              <w:t>-814 666,00</w:t>
            </w:r>
          </w:p>
        </w:tc>
        <w:tc>
          <w:tcPr>
            <w:shd w:val="clear" w:color="auto" w:fill="auto"/>
          </w:tcPr>
          <w:p w:rsidR="0084560F" w:rsidRPr="007314B2" w:rsidP="00C13D6C">
            <w:pPr>
              <w:spacing w:before="0" w:after="0"/>
              <w:jc w:val="right"/>
              <w:rPr>
                <w:b/>
                <w:sz w:val="10"/>
                <w:szCs w:val="10"/>
              </w:rPr>
            </w:pPr>
            <w:r w:rsidRPr="007314B2">
              <w:rPr>
                <w:b/>
                <w:noProof/>
                <w:sz w:val="10"/>
                <w:szCs w:val="10"/>
              </w:rPr>
              <w:t>10 348 000,00</w:t>
            </w:r>
          </w:p>
        </w:tc>
      </w:tr>
      <w:tr w:rsidTr="00376681">
        <w:tblPrEx>
          <w:tblW w:w="5000" w:type="pct"/>
          <w:tblInd w:w="88" w:type="dxa"/>
          <w:tblCellMar>
            <w:left w:w="57" w:type="dxa"/>
            <w:right w:w="57" w:type="dxa"/>
          </w:tblCellMar>
          <w:tblLook w:val="0000"/>
        </w:tblPrEx>
        <w:trPr>
          <w:trHeight w:val="525"/>
        </w:trPr>
        <w:tc>
          <w:tcPr>
            <w:shd w:val="clear" w:color="auto" w:fill="auto"/>
          </w:tcPr>
          <w:p w:rsidR="0084560F" w:rsidRPr="007314B2" w:rsidP="00C13D6C">
            <w:pPr>
              <w:spacing w:before="0" w:after="0"/>
              <w:jc w:val="left"/>
              <w:rPr>
                <w:sz w:val="10"/>
                <w:szCs w:val="10"/>
              </w:rPr>
            </w:pPr>
            <w:r w:rsidRPr="007314B2">
              <w:rPr>
                <w:b/>
                <w:noProof/>
                <w:sz w:val="10"/>
                <w:szCs w:val="10"/>
              </w:rPr>
              <w:t>TOTAL</w:t>
            </w:r>
          </w:p>
        </w:tc>
        <w:tc>
          <w:tcPr>
            <w:shd w:val="clear" w:color="auto" w:fill="auto"/>
          </w:tcPr>
          <w:p w:rsidR="0084560F" w:rsidRPr="007314B2" w:rsidP="00C13D6C">
            <w:pPr>
              <w:spacing w:before="0" w:after="0"/>
              <w:jc w:val="right"/>
              <w:rPr>
                <w:sz w:val="10"/>
                <w:szCs w:val="10"/>
              </w:rPr>
            </w:pPr>
            <w:r w:rsidRPr="007314B2">
              <w:rPr>
                <w:b/>
                <w:noProof/>
                <w:sz w:val="10"/>
                <w:szCs w:val="10"/>
              </w:rPr>
              <w:t>2 000 000,00</w:t>
            </w:r>
          </w:p>
        </w:tc>
        <w:tc>
          <w:tcPr/>
          <w:p w:rsidR="0084560F" w:rsidRPr="007314B2" w:rsidP="00C13D6C">
            <w:pPr>
              <w:spacing w:before="0" w:after="0"/>
              <w:jc w:val="right"/>
              <w:rPr>
                <w:sz w:val="10"/>
                <w:szCs w:val="10"/>
              </w:rPr>
            </w:pPr>
            <w:r w:rsidRPr="007314B2">
              <w:rPr>
                <w:b/>
                <w:noProof/>
                <w:sz w:val="10"/>
                <w:szCs w:val="10"/>
              </w:rPr>
              <w:t>2 000 000,00</w:t>
            </w:r>
          </w:p>
        </w:tc>
        <w:tc>
          <w:tcPr/>
          <w:p w:rsidR="0084560F" w:rsidRPr="007314B2" w:rsidP="00C13D6C">
            <w:pPr>
              <w:spacing w:before="0" w:after="0"/>
              <w:jc w:val="right"/>
              <w:rPr>
                <w:sz w:val="10"/>
                <w:szCs w:val="10"/>
              </w:rPr>
            </w:pPr>
            <w:r w:rsidRPr="007314B2">
              <w:rPr>
                <w:b/>
                <w:noProof/>
                <w:sz w:val="10"/>
                <w:szCs w:val="10"/>
              </w:rPr>
              <w:t>23 278 000,00</w:t>
            </w:r>
          </w:p>
        </w:tc>
        <w:tc>
          <w:tcPr/>
          <w:p w:rsidR="0084560F" w:rsidRPr="007314B2" w:rsidP="00C13D6C">
            <w:pPr>
              <w:spacing w:before="0" w:after="0"/>
              <w:jc w:val="right"/>
              <w:rPr>
                <w:sz w:val="10"/>
                <w:szCs w:val="10"/>
              </w:rPr>
            </w:pPr>
            <w:r w:rsidRPr="007314B2">
              <w:rPr>
                <w:b/>
                <w:noProof/>
                <w:sz w:val="10"/>
                <w:szCs w:val="10"/>
              </w:rPr>
              <w:t>23 278 000,00</w:t>
            </w:r>
          </w:p>
        </w:tc>
        <w:tc>
          <w:tcPr/>
          <w:p w:rsidR="0084560F" w:rsidRPr="007314B2" w:rsidP="00C13D6C">
            <w:pPr>
              <w:spacing w:before="0" w:after="0"/>
              <w:jc w:val="right"/>
              <w:rPr>
                <w:sz w:val="10"/>
                <w:szCs w:val="10"/>
              </w:rPr>
            </w:pPr>
            <w:r w:rsidRPr="007314B2">
              <w:rPr>
                <w:b/>
                <w:noProof/>
                <w:sz w:val="10"/>
                <w:szCs w:val="10"/>
              </w:rPr>
              <w:t>1 812 666,00</w:t>
            </w:r>
          </w:p>
        </w:tc>
        <w:tc>
          <w:tcPr/>
          <w:p w:rsidR="0084560F" w:rsidRPr="007314B2" w:rsidP="00C13D6C">
            <w:pPr>
              <w:spacing w:before="0" w:after="0"/>
              <w:jc w:val="right"/>
              <w:rPr>
                <w:sz w:val="10"/>
                <w:szCs w:val="10"/>
              </w:rPr>
            </w:pPr>
            <w:r w:rsidRPr="007314B2">
              <w:rPr>
                <w:b/>
                <w:noProof/>
                <w:sz w:val="10"/>
                <w:szCs w:val="10"/>
              </w:rPr>
              <w:t>1 812 666,00</w:t>
            </w:r>
          </w:p>
        </w:tc>
        <w:tc>
          <w:tcPr>
            <w:shd w:val="clear" w:color="auto" w:fill="auto"/>
          </w:tcPr>
          <w:p w:rsidR="0084560F" w:rsidRPr="007314B2" w:rsidP="00C13D6C">
            <w:pPr>
              <w:spacing w:before="0" w:after="0"/>
              <w:jc w:val="right"/>
              <w:rPr>
                <w:sz w:val="10"/>
                <w:szCs w:val="10"/>
              </w:rPr>
            </w:pPr>
            <w:r w:rsidRPr="007314B2">
              <w:rPr>
                <w:b/>
                <w:noProof/>
                <w:sz w:val="10"/>
                <w:szCs w:val="10"/>
              </w:rPr>
              <w:t>1 812 668,00</w:t>
            </w:r>
          </w:p>
        </w:tc>
        <w:tc>
          <w:tcPr>
            <w:shd w:val="clear" w:color="auto" w:fill="auto"/>
          </w:tcPr>
          <w:p w:rsidR="0084560F" w:rsidRPr="007314B2" w:rsidP="00C13D6C">
            <w:pPr>
              <w:spacing w:before="0" w:after="0"/>
              <w:jc w:val="right"/>
              <w:rPr>
                <w:b/>
                <w:sz w:val="10"/>
                <w:szCs w:val="10"/>
              </w:rPr>
            </w:pPr>
            <w:r w:rsidRPr="007314B2">
              <w:rPr>
                <w:b/>
                <w:noProof/>
                <w:sz w:val="10"/>
                <w:szCs w:val="10"/>
              </w:rPr>
              <w:t>55 994 000,00</w:t>
            </w:r>
          </w:p>
        </w:tc>
      </w:tr>
    </w:tbl>
    <w:p w:rsidR="0084560F" w:rsidP="00C13D6C">
      <w:pPr>
        <w:spacing w:before="0" w:after="0"/>
        <w:rPr>
          <w:rFonts w:eastAsia="Arial Unicode MS"/>
        </w:rPr>
      </w:pPr>
    </w:p>
    <w:p w:rsidR="0084560F" w:rsidP="00C13D6C">
      <w:pPr>
        <w:pStyle w:val="Heading2"/>
        <w:numPr>
          <w:ilvl w:val="0"/>
          <w:numId w:val="0"/>
        </w:numPr>
        <w:spacing w:before="0" w:after="0"/>
        <w:jc w:val="left"/>
        <w:rPr>
          <w:rFonts w:eastAsia="Arial Unicode MS"/>
        </w:rPr>
      </w:pPr>
      <w:bookmarkStart w:id="202" w:name="_Toc256000032"/>
      <w:bookmarkStart w:id="203" w:name="_Toc256000090"/>
      <w:bookmarkStart w:id="204" w:name="_Toc256000148"/>
      <w:bookmarkStart w:id="205" w:name="_Toc256000206"/>
      <w:r w:rsidRPr="00C83557">
        <w:rPr>
          <w:rFonts w:eastAsia="Arial Unicode MS"/>
          <w:noProof/>
        </w:rPr>
        <w:t>Tableau 3: Engagements annuels totaux de l’UE (€)</w:t>
      </w:r>
      <w:bookmarkEnd w:id="205"/>
      <w:bookmarkEnd w:id="204"/>
      <w:bookmarkEnd w:id="203"/>
      <w:bookmarkEnd w:id="202"/>
    </w:p>
    <w:p w:rsidR="0084560F" w:rsidP="00C13D6C">
      <w:pPr>
        <w:spacing w:before="0" w:after="0"/>
        <w:rPr>
          <w:rFonts w:eastAsia="Arial Unicode MS"/>
        </w:rPr>
      </w:pPr>
    </w:p>
    <w:tbl>
      <w:tblPr>
        <w:tblStyle w:val="TableNormal"/>
        <w:tblW w:w="5000"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26"/>
        <w:gridCol w:w="1083"/>
        <w:gridCol w:w="1083"/>
        <w:gridCol w:w="1083"/>
        <w:gridCol w:w="1083"/>
        <w:gridCol w:w="1083"/>
        <w:gridCol w:w="1083"/>
        <w:gridCol w:w="1083"/>
        <w:gridCol w:w="1159"/>
      </w:tblGrid>
      <w:tr w:rsidTr="00376681">
        <w:tblPrEx>
          <w:tblW w:w="5000"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c>
          <w:tcPr>
            <w:shd w:val="clear" w:color="auto" w:fill="auto"/>
          </w:tcPr>
          <w:p w:rsidR="0084560F" w:rsidRPr="007314B2" w:rsidP="00C13D6C">
            <w:pPr>
              <w:spacing w:before="0" w:after="0"/>
              <w:jc w:val="left"/>
              <w:rPr>
                <w:b/>
                <w:sz w:val="12"/>
                <w:szCs w:val="12"/>
              </w:rPr>
            </w:pPr>
          </w:p>
        </w:tc>
        <w:tc>
          <w:tcPr>
            <w:shd w:val="clear" w:color="auto" w:fill="auto"/>
          </w:tcPr>
          <w:p w:rsidR="0084560F" w:rsidRPr="007314B2" w:rsidP="00C13D6C">
            <w:pPr>
              <w:spacing w:before="0" w:after="0"/>
              <w:jc w:val="center"/>
              <w:rPr>
                <w:b/>
                <w:sz w:val="12"/>
                <w:szCs w:val="12"/>
              </w:rPr>
            </w:pPr>
            <w:r w:rsidRPr="007314B2">
              <w:rPr>
                <w:b/>
                <w:sz w:val="12"/>
                <w:szCs w:val="12"/>
              </w:rPr>
              <w:t>2014</w:t>
            </w:r>
          </w:p>
        </w:tc>
        <w:tc>
          <w:tcPr>
            <w:shd w:val="clear" w:color="auto" w:fill="auto"/>
          </w:tcPr>
          <w:p w:rsidR="0084560F" w:rsidRPr="007314B2" w:rsidP="00C13D6C">
            <w:pPr>
              <w:spacing w:before="0" w:after="0"/>
              <w:jc w:val="center"/>
              <w:rPr>
                <w:b/>
                <w:sz w:val="12"/>
                <w:szCs w:val="12"/>
              </w:rPr>
            </w:pPr>
            <w:r w:rsidRPr="007314B2">
              <w:rPr>
                <w:b/>
                <w:sz w:val="12"/>
                <w:szCs w:val="12"/>
              </w:rPr>
              <w:t>2015</w:t>
            </w:r>
          </w:p>
        </w:tc>
        <w:tc>
          <w:tcPr>
            <w:shd w:val="clear" w:color="auto" w:fill="auto"/>
          </w:tcPr>
          <w:p w:rsidR="0084560F" w:rsidRPr="007314B2" w:rsidP="00C13D6C">
            <w:pPr>
              <w:spacing w:before="0" w:after="0"/>
              <w:jc w:val="center"/>
              <w:rPr>
                <w:b/>
                <w:sz w:val="12"/>
                <w:szCs w:val="12"/>
              </w:rPr>
            </w:pPr>
            <w:r w:rsidRPr="007314B2">
              <w:rPr>
                <w:b/>
                <w:sz w:val="12"/>
                <w:szCs w:val="12"/>
              </w:rPr>
              <w:t>2016</w:t>
            </w:r>
          </w:p>
        </w:tc>
        <w:tc>
          <w:tcPr>
            <w:shd w:val="clear" w:color="auto" w:fill="auto"/>
          </w:tcPr>
          <w:p w:rsidR="0084560F" w:rsidRPr="007314B2" w:rsidP="00C13D6C">
            <w:pPr>
              <w:spacing w:before="0" w:after="0"/>
              <w:jc w:val="center"/>
              <w:rPr>
                <w:b/>
                <w:sz w:val="12"/>
                <w:szCs w:val="12"/>
              </w:rPr>
            </w:pPr>
            <w:r w:rsidRPr="007314B2">
              <w:rPr>
                <w:b/>
                <w:sz w:val="12"/>
                <w:szCs w:val="12"/>
              </w:rPr>
              <w:t>2017</w:t>
            </w:r>
          </w:p>
        </w:tc>
        <w:tc>
          <w:tcPr>
            <w:shd w:val="clear" w:color="auto" w:fill="auto"/>
          </w:tcPr>
          <w:p w:rsidR="0084560F" w:rsidRPr="007314B2" w:rsidP="00C13D6C">
            <w:pPr>
              <w:spacing w:before="0" w:after="0"/>
              <w:jc w:val="center"/>
              <w:rPr>
                <w:b/>
                <w:sz w:val="12"/>
                <w:szCs w:val="12"/>
              </w:rPr>
            </w:pPr>
            <w:r w:rsidRPr="007314B2">
              <w:rPr>
                <w:b/>
                <w:sz w:val="12"/>
                <w:szCs w:val="12"/>
              </w:rPr>
              <w:t>2018</w:t>
            </w:r>
          </w:p>
        </w:tc>
        <w:tc>
          <w:tcPr>
            <w:shd w:val="clear" w:color="auto" w:fill="auto"/>
          </w:tcPr>
          <w:p w:rsidR="0084560F" w:rsidRPr="007314B2" w:rsidP="00C13D6C">
            <w:pPr>
              <w:spacing w:before="0" w:after="0"/>
              <w:jc w:val="center"/>
              <w:rPr>
                <w:b/>
                <w:sz w:val="12"/>
                <w:szCs w:val="12"/>
              </w:rPr>
            </w:pPr>
            <w:r w:rsidRPr="007314B2">
              <w:rPr>
                <w:b/>
                <w:sz w:val="12"/>
                <w:szCs w:val="12"/>
              </w:rPr>
              <w:t>2019</w:t>
            </w:r>
          </w:p>
        </w:tc>
        <w:tc>
          <w:tcPr>
            <w:shd w:val="clear" w:color="auto" w:fill="auto"/>
          </w:tcPr>
          <w:p w:rsidR="0084560F" w:rsidRPr="007314B2" w:rsidP="00C13D6C">
            <w:pPr>
              <w:spacing w:before="0" w:after="0"/>
              <w:jc w:val="center"/>
              <w:rPr>
                <w:b/>
                <w:sz w:val="12"/>
                <w:szCs w:val="12"/>
              </w:rPr>
            </w:pPr>
            <w:r w:rsidRPr="007314B2">
              <w:rPr>
                <w:b/>
                <w:sz w:val="12"/>
                <w:szCs w:val="12"/>
              </w:rPr>
              <w:t>2020</w:t>
            </w:r>
          </w:p>
        </w:tc>
        <w:tc>
          <w:tcPr>
            <w:shd w:val="clear" w:color="auto" w:fill="auto"/>
          </w:tcPr>
          <w:p w:rsidR="0084560F" w:rsidRPr="007314B2" w:rsidP="00C13D6C">
            <w:pPr>
              <w:spacing w:before="0" w:after="0"/>
              <w:jc w:val="center"/>
              <w:rPr>
                <w:b/>
                <w:sz w:val="12"/>
                <w:szCs w:val="12"/>
              </w:rPr>
            </w:pPr>
            <w:r w:rsidRPr="007314B2">
              <w:rPr>
                <w:b/>
                <w:noProof/>
                <w:sz w:val="12"/>
                <w:szCs w:val="12"/>
              </w:rPr>
              <w:t>TOTAL</w:t>
            </w:r>
          </w:p>
        </w:tc>
      </w:tr>
      <w:tr w:rsidTr="00376681">
        <w:tblPrEx>
          <w:tblW w:w="5000" w:type="pct"/>
          <w:tblInd w:w="80" w:type="dxa"/>
          <w:tblCellMar>
            <w:left w:w="57" w:type="dxa"/>
            <w:right w:w="57" w:type="dxa"/>
          </w:tblCellMar>
          <w:tblLook w:val="04A0"/>
        </w:tblPrEx>
        <w:trPr>
          <w:trHeight w:val="227"/>
        </w:trPr>
        <w:tc>
          <w:tcPr>
            <w:shd w:val="clear" w:color="auto" w:fill="auto"/>
          </w:tcPr>
          <w:p w:rsidR="0084560F" w:rsidRPr="007314B2" w:rsidP="00C13D6C">
            <w:pPr>
              <w:spacing w:before="0" w:after="0"/>
              <w:jc w:val="left"/>
              <w:rPr>
                <w:sz w:val="10"/>
                <w:szCs w:val="10"/>
              </w:rPr>
            </w:pPr>
            <w:r w:rsidRPr="007314B2">
              <w:rPr>
                <w:noProof/>
                <w:sz w:val="10"/>
                <w:szCs w:val="10"/>
              </w:rPr>
              <w:t>Asile et solidarité</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4 704 189,95</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6 567 389,00</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31 792 301,00</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40 426 050,99</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8 594 706,37</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5 325 698,99</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6 428 284,99</w:t>
            </w:r>
          </w:p>
        </w:tc>
        <w:tc>
          <w:tcPr>
            <w:shd w:val="clear" w:color="auto" w:fill="auto"/>
          </w:tcPr>
          <w:p w:rsidR="0084560F" w:rsidRPr="007314B2" w:rsidP="00C13D6C">
            <w:pPr>
              <w:spacing w:before="0" w:after="0"/>
              <w:jc w:val="right"/>
              <w:rPr>
                <w:sz w:val="10"/>
                <w:szCs w:val="10"/>
              </w:rPr>
            </w:pPr>
            <w:r w:rsidRPr="007314B2">
              <w:rPr>
                <w:noProof/>
                <w:sz w:val="10"/>
                <w:szCs w:val="10"/>
              </w:rPr>
              <w:t>103 838 621,29</w:t>
            </w:r>
          </w:p>
        </w:tc>
      </w:tr>
      <w:tr w:rsidTr="00376681">
        <w:tblPrEx>
          <w:tblW w:w="5000" w:type="pct"/>
          <w:tblInd w:w="80" w:type="dxa"/>
          <w:tblCellMar>
            <w:left w:w="57" w:type="dxa"/>
            <w:right w:w="57" w:type="dxa"/>
          </w:tblCellMar>
          <w:tblLook w:val="04A0"/>
        </w:tblPrEx>
        <w:trPr>
          <w:trHeight w:val="227"/>
        </w:trPr>
        <w:tc>
          <w:tcPr>
            <w:shd w:val="clear" w:color="auto" w:fill="auto"/>
          </w:tcPr>
          <w:p w:rsidR="0084560F" w:rsidRPr="007314B2" w:rsidP="00C13D6C">
            <w:pPr>
              <w:spacing w:before="0" w:after="0"/>
              <w:jc w:val="left"/>
              <w:rPr>
                <w:sz w:val="10"/>
                <w:szCs w:val="10"/>
              </w:rPr>
            </w:pPr>
            <w:r w:rsidRPr="007314B2">
              <w:rPr>
                <w:noProof/>
                <w:sz w:val="10"/>
                <w:szCs w:val="10"/>
              </w:rPr>
              <w:t>Intégration et retour</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8 070 232,17</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8 070 231,00</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8 684 811,00</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20 243 796,01</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11 479 375,63</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8 423 492,01</w:t>
            </w:r>
          </w:p>
        </w:tc>
        <w:tc>
          <w:tcPr>
            <w:shd w:val="clear" w:color="auto" w:fill="auto"/>
          </w:tcPr>
          <w:p w:rsidR="0084560F" w:rsidRPr="007314B2" w:rsidP="00C13D6C">
            <w:pPr>
              <w:pStyle w:val="Institutionquisigne"/>
              <w:spacing w:before="0"/>
              <w:jc w:val="right"/>
              <w:rPr>
                <w:i w:val="0"/>
                <w:sz w:val="10"/>
                <w:szCs w:val="10"/>
              </w:rPr>
            </w:pPr>
            <w:r w:rsidRPr="007314B2">
              <w:rPr>
                <w:i w:val="0"/>
                <w:noProof/>
                <w:sz w:val="10"/>
                <w:szCs w:val="10"/>
              </w:rPr>
              <w:t>10 316 888,01</w:t>
            </w:r>
          </w:p>
        </w:tc>
        <w:tc>
          <w:tcPr>
            <w:shd w:val="clear" w:color="auto" w:fill="auto"/>
          </w:tcPr>
          <w:p w:rsidR="0084560F" w:rsidRPr="007314B2" w:rsidP="00C13D6C">
            <w:pPr>
              <w:spacing w:before="0" w:after="0"/>
              <w:jc w:val="right"/>
              <w:rPr>
                <w:sz w:val="10"/>
                <w:szCs w:val="10"/>
              </w:rPr>
            </w:pPr>
            <w:r w:rsidRPr="007314B2">
              <w:rPr>
                <w:noProof/>
                <w:sz w:val="10"/>
                <w:szCs w:val="10"/>
              </w:rPr>
              <w:t>75 288 825,83</w:t>
            </w:r>
          </w:p>
        </w:tc>
      </w:tr>
      <w:tr w:rsidTr="00376681">
        <w:tblPrEx>
          <w:tblW w:w="5000" w:type="pct"/>
          <w:tblInd w:w="80" w:type="dxa"/>
          <w:tblCellMar>
            <w:left w:w="57" w:type="dxa"/>
            <w:right w:w="57" w:type="dxa"/>
          </w:tblCellMar>
          <w:tblLook w:val="04A0"/>
        </w:tblPrEx>
        <w:trPr>
          <w:trHeight w:val="227"/>
        </w:trPr>
        <w:tc>
          <w:tcPr>
            <w:shd w:val="clear" w:color="auto" w:fill="auto"/>
          </w:tcPr>
          <w:p w:rsidR="0084560F" w:rsidRPr="007314B2" w:rsidP="00C13D6C">
            <w:pPr>
              <w:spacing w:before="0" w:after="0"/>
              <w:jc w:val="left"/>
              <w:rPr>
                <w:sz w:val="10"/>
                <w:szCs w:val="10"/>
              </w:rPr>
            </w:pPr>
            <w:r w:rsidRPr="007314B2">
              <w:rPr>
                <w:b/>
                <w:noProof/>
                <w:sz w:val="10"/>
                <w:szCs w:val="10"/>
              </w:rPr>
              <w:t>TOTAL</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12 774 422,12</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14 637 620,00</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40 477 112,00</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60 669 847,00</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20 074 082,00</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13 749 191,00</w:t>
            </w:r>
          </w:p>
        </w:tc>
        <w:tc>
          <w:tcPr>
            <w:shd w:val="clear" w:color="auto" w:fill="auto"/>
          </w:tcPr>
          <w:p w:rsidR="0084560F" w:rsidRPr="007314B2" w:rsidP="00C13D6C">
            <w:pPr>
              <w:pStyle w:val="Institutionquisigne"/>
              <w:spacing w:before="0"/>
              <w:jc w:val="right"/>
              <w:rPr>
                <w:i w:val="0"/>
                <w:sz w:val="10"/>
                <w:szCs w:val="10"/>
              </w:rPr>
            </w:pPr>
            <w:r w:rsidRPr="007314B2">
              <w:rPr>
                <w:b/>
                <w:i w:val="0"/>
                <w:noProof/>
                <w:sz w:val="10"/>
                <w:szCs w:val="10"/>
              </w:rPr>
              <w:t>16 745 173,00</w:t>
            </w:r>
          </w:p>
        </w:tc>
        <w:tc>
          <w:tcPr>
            <w:shd w:val="clear" w:color="auto" w:fill="auto"/>
          </w:tcPr>
          <w:p w:rsidR="0084560F" w:rsidRPr="007314B2" w:rsidP="00C13D6C">
            <w:pPr>
              <w:spacing w:before="0" w:after="0"/>
              <w:jc w:val="right"/>
              <w:rPr>
                <w:sz w:val="10"/>
                <w:szCs w:val="10"/>
              </w:rPr>
            </w:pPr>
            <w:r w:rsidRPr="007314B2">
              <w:rPr>
                <w:b/>
                <w:noProof/>
                <w:sz w:val="10"/>
                <w:szCs w:val="10"/>
              </w:rPr>
              <w:t>179 127 447,12</w:t>
            </w:r>
          </w:p>
        </w:tc>
      </w:tr>
    </w:tbl>
    <w:p w:rsidR="0084560F" w:rsidP="00C13D6C">
      <w:pPr>
        <w:spacing w:before="0" w:after="0"/>
        <w:rPr>
          <w:rFonts w:eastAsia="Arial Unicode MS"/>
        </w:rPr>
      </w:pPr>
    </w:p>
    <w:p w:rsidR="0084560F" w:rsidRPr="00DF17ED" w:rsidP="00C13D6C">
      <w:pPr>
        <w:pStyle w:val="Heading2"/>
        <w:numPr>
          <w:ilvl w:val="0"/>
          <w:numId w:val="0"/>
        </w:numPr>
        <w:spacing w:before="0" w:after="0"/>
        <w:ind w:left="851" w:hanging="851"/>
        <w:jc w:val="left"/>
        <w:rPr>
          <w:rFonts w:eastAsia="Arial Unicode MS"/>
        </w:rPr>
      </w:pPr>
      <w:bookmarkStart w:id="206" w:name="_Toc256000033"/>
      <w:bookmarkStart w:id="207" w:name="_Toc256000091"/>
      <w:bookmarkStart w:id="208" w:name="_Toc256000149"/>
      <w:bookmarkStart w:id="209" w:name="_Toc256000207"/>
      <w:r>
        <w:rPr>
          <w:rFonts w:eastAsia="Arial Unicode MS"/>
          <w:noProof/>
        </w:rPr>
        <w:t>Justification de tout écart par rapport aux parts minimales fixées dans les règlements spécifiques</w:t>
      </w:r>
      <w:bookmarkEnd w:id="209"/>
      <w:bookmarkEnd w:id="208"/>
      <w:bookmarkEnd w:id="207"/>
      <w:bookmarkEnd w:id="206"/>
    </w:p>
    <w:p w:rsidR="0084560F" w:rsidP="00C13D6C">
      <w:pPr>
        <w:spacing w:before="0" w:after="0"/>
      </w:pPr>
    </w:p>
    <w:p w:rsidR="00094173" w:rsidRPr="0084560F" w:rsidP="00C13D6C">
      <w:pPr>
        <w:spacing w:before="0" w:after="0"/>
        <w:sectPr w:rsidSect="0047688D">
          <w:headerReference w:type="default" r:id="rId14"/>
          <w:footerReference w:type="default" r:id="rId15"/>
          <w:headerReference w:type="first" r:id="rId16"/>
          <w:footerReference w:type="first" r:id="rId17"/>
          <w:pgSz w:w="11906" w:h="16838"/>
          <w:pgMar w:top="567" w:right="510" w:bottom="284" w:left="1134" w:header="283" w:footer="283" w:gutter="0"/>
          <w:cols w:space="708"/>
          <w:docGrid w:linePitch="360"/>
        </w:sectPr>
      </w:pPr>
    </w:p>
    <w:p w:rsidR="00D5077A" w:rsidP="00BE2F0F">
      <w:pPr>
        <w:pStyle w:val="Heading10"/>
        <w:numPr>
          <w:ilvl w:val="0"/>
          <w:numId w:val="0"/>
        </w:numPr>
        <w:ind w:right="-283"/>
      </w:pPr>
      <w:bookmarkStart w:id="210" w:name="_Toc256000150"/>
      <w:bookmarkStart w:id="211" w:name="_Toc256000208"/>
      <w:r>
        <w:rPr>
          <w:noProof/>
        </w:rPr>
        <w:t>Documents</w:t>
      </w:r>
      <w:bookmarkEnd w:id="211"/>
      <w:bookmarkEnd w:id="21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2"/>
        <w:gridCol w:w="2067"/>
        <w:gridCol w:w="2054"/>
        <w:gridCol w:w="1863"/>
        <w:gridCol w:w="2991"/>
        <w:gridCol w:w="1085"/>
        <w:gridCol w:w="1509"/>
        <w:gridCol w:w="1411"/>
      </w:tblGrid>
      <w:tr w:rsidTr="00A67C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0"/>
              <w:spacing w:before="0" w:after="0"/>
              <w:rPr>
                <w:b/>
                <w:sz w:val="16"/>
                <w:szCs w:val="16"/>
              </w:rPr>
            </w:pPr>
            <w:r>
              <w:rPr>
                <w:b/>
                <w:noProof/>
                <w:sz w:val="16"/>
                <w:szCs w:val="16"/>
              </w:rPr>
              <w:t>Intitulé du document</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Type de document</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Date du document</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Référence locale</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Référence de la Commission</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Fichiers</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Date d'envoi</w:t>
            </w:r>
          </w:p>
        </w:tc>
        <w:tc>
          <w:tcPr>
            <w:shd w:val="clear" w:color="auto" w:fill="auto"/>
            <w:vAlign w:val="center"/>
          </w:tcPr>
          <w:p w:rsidR="00D5077A" w:rsidRPr="00C40F08" w:rsidP="002E06F3">
            <w:pPr>
              <w:pStyle w:val="NormalCentered0"/>
              <w:spacing w:before="0" w:after="0"/>
              <w:rPr>
                <w:b/>
                <w:sz w:val="16"/>
                <w:szCs w:val="16"/>
              </w:rPr>
            </w:pPr>
            <w:r>
              <w:rPr>
                <w:b/>
                <w:noProof/>
                <w:sz w:val="16"/>
                <w:szCs w:val="16"/>
              </w:rPr>
              <w:t>Envoyé par</w:t>
            </w:r>
          </w:p>
        </w:tc>
      </w:tr>
    </w:tbl>
    <w:p w:rsidR="00094173" w:rsidRPr="00D5077A" w:rsidP="00BE2F0F">
      <w:pPr>
        <w:spacing w:before="0" w:after="0"/>
        <w:sectPr w:rsidSect="0087734D">
          <w:headerReference w:type="default" r:id="rId18"/>
          <w:footerReference w:type="default" r:id="rId19"/>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212" w:name="_Toc256000151"/>
      <w:bookmarkStart w:id="213" w:name="_Toc256000209"/>
      <w:r w:rsidR="00F05543">
        <w:rPr>
          <w:noProof/>
        </w:rPr>
        <w:t>Résultats de la dernière validation</w:t>
      </w:r>
      <w:bookmarkEnd w:id="213"/>
      <w:bookmarkEnd w:id="21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052"/>
        <w:gridCol w:w="528"/>
        <w:gridCol w:w="13712"/>
      </w:tblGrid>
      <w:tr w:rsidTr="00B45E55">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0"/>
              <w:spacing w:before="0" w:after="0"/>
              <w:rPr>
                <w:b/>
                <w:sz w:val="16"/>
                <w:szCs w:val="16"/>
              </w:rPr>
            </w:pPr>
            <w:r w:rsidRPr="00DD2742">
              <w:rPr>
                <w:b/>
                <w:noProof/>
                <w:sz w:val="16"/>
                <w:szCs w:val="16"/>
              </w:rPr>
              <w:t>Gravité</w:t>
            </w:r>
          </w:p>
        </w:tc>
        <w:tc>
          <w:tcPr>
            <w:shd w:val="clear" w:color="auto" w:fill="auto"/>
            <w:vAlign w:val="center"/>
          </w:tcPr>
          <w:p w:rsidR="00434D73" w:rsidRPr="00DD2742" w:rsidP="006477CC">
            <w:pPr>
              <w:pStyle w:val="NormalCentered0"/>
              <w:spacing w:before="0" w:after="0"/>
              <w:rPr>
                <w:b/>
                <w:sz w:val="16"/>
                <w:szCs w:val="16"/>
              </w:rPr>
            </w:pPr>
            <w:r w:rsidRPr="00DD2742">
              <w:rPr>
                <w:b/>
                <w:noProof/>
                <w:sz w:val="16"/>
                <w:szCs w:val="16"/>
              </w:rPr>
              <w:t>Code</w:t>
            </w:r>
          </w:p>
        </w:tc>
        <w:tc>
          <w:tcPr>
            <w:shd w:val="clear" w:color="auto" w:fill="auto"/>
            <w:vAlign w:val="center"/>
          </w:tcPr>
          <w:p w:rsidR="00434D73" w:rsidRPr="00DD2742" w:rsidP="006477CC">
            <w:pPr>
              <w:pStyle w:val="NormalCentered0"/>
              <w:spacing w:before="0" w:after="0"/>
              <w:rPr>
                <w:b/>
                <w:sz w:val="16"/>
                <w:szCs w:val="16"/>
              </w:rPr>
            </w:pPr>
            <w:r w:rsidRPr="00DD2742">
              <w:rPr>
                <w:b/>
                <w:noProof/>
                <w:sz w:val="16"/>
                <w:szCs w:val="16"/>
              </w:rPr>
              <w:t>Messages</w:t>
            </w:r>
          </w:p>
        </w:tc>
      </w:tr>
      <w:tr w:rsidTr="00B45E55">
        <w:tblPrEx>
          <w:tblW w:w="5000" w:type="pct"/>
          <w:tblInd w:w="108" w:type="dxa"/>
          <w:tblCellMar>
            <w:right w:w="0" w:type="dxa"/>
          </w:tblCellMar>
          <w:tblLook w:val="04A0"/>
        </w:tblPrEx>
        <w:trPr>
          <w:trHeight w:val="283"/>
        </w:trPr>
        <w:tc>
          <w:tcPr>
            <w:shd w:val="clear" w:color="auto" w:fill="auto"/>
          </w:tcPr>
          <w:p w:rsidR="00434D73" w:rsidRPr="00DD2742" w:rsidP="006477CC">
            <w:pPr>
              <w:pStyle w:val="NormalLeft0"/>
              <w:spacing w:before="0" w:after="0"/>
              <w:rPr>
                <w:sz w:val="16"/>
                <w:szCs w:val="16"/>
              </w:rPr>
            </w:pPr>
            <w:r w:rsidRPr="00DD2742">
              <w:rPr>
                <w:noProof/>
                <w:sz w:val="16"/>
                <w:szCs w:val="16"/>
              </w:rPr>
              <w:t>Info</w:t>
            </w:r>
          </w:p>
        </w:tc>
        <w:tc>
          <w:tcPr>
            <w:shd w:val="clear" w:color="auto" w:fill="auto"/>
          </w:tcPr>
          <w:p w:rsidR="00434D73" w:rsidRPr="00DD2742" w:rsidP="006477CC">
            <w:pPr>
              <w:pStyle w:val="NormalLeft0"/>
              <w:spacing w:before="0" w:after="0"/>
              <w:rPr>
                <w:sz w:val="16"/>
                <w:szCs w:val="16"/>
              </w:rPr>
            </w:pPr>
          </w:p>
        </w:tc>
        <w:tc>
          <w:tcPr>
            <w:shd w:val="clear" w:color="auto" w:fill="auto"/>
          </w:tcPr>
          <w:p w:rsidR="00434D73" w:rsidRPr="00DD2742" w:rsidP="006477CC">
            <w:pPr>
              <w:pStyle w:val="NormalLeft0"/>
              <w:spacing w:before="0" w:after="0"/>
              <w:rPr>
                <w:sz w:val="16"/>
                <w:szCs w:val="16"/>
              </w:rPr>
            </w:pPr>
            <w:r w:rsidRPr="00DD2742">
              <w:rPr>
                <w:noProof/>
                <w:sz w:val="16"/>
                <w:szCs w:val="16"/>
              </w:rPr>
              <w:t>La version du programme a été validée.</w:t>
            </w:r>
          </w:p>
        </w:tc>
      </w:tr>
      <w:tr w:rsidTr="00B45E55">
        <w:tblPrEx>
          <w:tblW w:w="5000" w:type="pct"/>
          <w:tblInd w:w="108" w:type="dxa"/>
          <w:tblCellMar>
            <w:right w:w="0" w:type="dxa"/>
          </w:tblCellMar>
          <w:tblLook w:val="04A0"/>
        </w:tblPrEx>
        <w:trPr>
          <w:trHeight w:val="283"/>
        </w:trPr>
        <w:tc>
          <w:tcPr>
            <w:shd w:val="clear" w:color="auto" w:fill="auto"/>
          </w:tcPr>
          <w:p w:rsidR="00434D73" w:rsidRPr="00DD2742" w:rsidP="006477CC">
            <w:pPr>
              <w:pStyle w:val="NormalLeft0"/>
              <w:spacing w:before="0" w:after="0"/>
              <w:rPr>
                <w:sz w:val="16"/>
                <w:szCs w:val="16"/>
              </w:rPr>
            </w:pPr>
            <w:r w:rsidRPr="00DD2742">
              <w:rPr>
                <w:noProof/>
                <w:sz w:val="16"/>
                <w:szCs w:val="16"/>
              </w:rPr>
              <w:t>Avertissement</w:t>
            </w:r>
          </w:p>
        </w:tc>
        <w:tc>
          <w:tcPr>
            <w:shd w:val="clear" w:color="auto" w:fill="auto"/>
          </w:tcPr>
          <w:p w:rsidR="00434D73" w:rsidRPr="00DD2742" w:rsidP="006477CC">
            <w:pPr>
              <w:pStyle w:val="NormalLeft0"/>
              <w:spacing w:before="0" w:after="0"/>
              <w:rPr>
                <w:sz w:val="16"/>
                <w:szCs w:val="16"/>
              </w:rPr>
            </w:pPr>
            <w:r w:rsidRPr="00DD2742">
              <w:rPr>
                <w:noProof/>
                <w:sz w:val="16"/>
                <w:szCs w:val="16"/>
              </w:rPr>
              <w:t>2.15</w:t>
            </w:r>
          </w:p>
        </w:tc>
        <w:tc>
          <w:tcPr>
            <w:shd w:val="clear" w:color="auto" w:fill="auto"/>
          </w:tcPr>
          <w:p w:rsidR="00434D73" w:rsidRPr="00DD2742" w:rsidP="006477CC">
            <w:pPr>
              <w:pStyle w:val="NormalLeft0"/>
              <w:spacing w:before="0" w:after="0"/>
              <w:rPr>
                <w:sz w:val="16"/>
                <w:szCs w:val="16"/>
              </w:rPr>
            </w:pPr>
            <w:r w:rsidRPr="00DD2742">
              <w:rPr>
                <w:noProof/>
                <w:sz w:val="16"/>
                <w:szCs w:val="16"/>
              </w:rPr>
              <w:t>Une nouvelle décision CE est requise pour les versions &gt; 1. Une nouvelle décision CE est requise lorsque des champs faisant partie de la décision CE sont modifiés/ajoutés/supprimés. Ces champs correspondent à tous les champs à l'exception de ceux utilisés à la section «Autorités» et du champ «Système de gestion et de contrôle». En ce qui concerne le plan financier, les montants au sein d'un objectif spécifique peuvent être modifiés sans qu'une nouvelle décision de la CE soit nécessaire, pour autant que le total par objectif spécifique reste le même.</w:t>
            </w:r>
          </w:p>
        </w:tc>
      </w:tr>
      <w:tr w:rsidTr="00B45E55">
        <w:tblPrEx>
          <w:tblW w:w="5000" w:type="pct"/>
          <w:tblInd w:w="108" w:type="dxa"/>
          <w:tblCellMar>
            <w:right w:w="0" w:type="dxa"/>
          </w:tblCellMar>
          <w:tblLook w:val="04A0"/>
        </w:tblPrEx>
        <w:trPr>
          <w:trHeight w:val="283"/>
        </w:trPr>
        <w:tc>
          <w:tcPr>
            <w:shd w:val="clear" w:color="auto" w:fill="auto"/>
          </w:tcPr>
          <w:p w:rsidR="00434D73" w:rsidRPr="00DD2742" w:rsidP="006477CC">
            <w:pPr>
              <w:pStyle w:val="NormalLeft0"/>
              <w:spacing w:before="0" w:after="0"/>
              <w:rPr>
                <w:sz w:val="16"/>
                <w:szCs w:val="16"/>
              </w:rPr>
            </w:pPr>
            <w:r w:rsidRPr="00DD2742">
              <w:rPr>
                <w:noProof/>
                <w:sz w:val="16"/>
                <w:szCs w:val="16"/>
              </w:rPr>
              <w:t>Avertissement</w:t>
            </w:r>
          </w:p>
        </w:tc>
        <w:tc>
          <w:tcPr>
            <w:shd w:val="clear" w:color="auto" w:fill="auto"/>
          </w:tcPr>
          <w:p w:rsidR="00434D73" w:rsidRPr="00DD2742" w:rsidP="006477CC">
            <w:pPr>
              <w:pStyle w:val="NormalLeft0"/>
              <w:spacing w:before="0" w:after="0"/>
              <w:rPr>
                <w:sz w:val="16"/>
                <w:szCs w:val="16"/>
              </w:rPr>
            </w:pPr>
            <w:r w:rsidRPr="00DD2742">
              <w:rPr>
                <w:noProof/>
                <w:sz w:val="16"/>
                <w:szCs w:val="16"/>
              </w:rPr>
              <w:t>2.22.1</w:t>
            </w:r>
          </w:p>
        </w:tc>
        <w:tc>
          <w:tcPr>
            <w:shd w:val="clear" w:color="auto" w:fill="auto"/>
          </w:tcPr>
          <w:p w:rsidR="00434D73" w:rsidRPr="00DD2742" w:rsidP="006477CC">
            <w:pPr>
              <w:pStyle w:val="NormalLeft0"/>
              <w:spacing w:before="0" w:after="0"/>
              <w:rPr>
                <w:sz w:val="16"/>
                <w:szCs w:val="16"/>
              </w:rPr>
            </w:pPr>
            <w:r w:rsidRPr="00DD2742">
              <w:rPr>
                <w:noProof/>
                <w:sz w:val="16"/>
                <w:szCs w:val="16"/>
              </w:rPr>
              <w:t>La dotation totale au programme (objectifs nationaux + AT) pour FAMI (115 379 784,00) devrait être équivalente à la dotation totale pour les montants de base prévue dans les perspectives financières (100 817 784,00).</w:t>
            </w:r>
          </w:p>
        </w:tc>
      </w:tr>
    </w:tbl>
    <w:p w:rsidR="00673320" w:rsidRPr="001A4AC5" w:rsidP="00DD2742"/>
    <w:sectPr w:rsidSect="001A4AC5">
      <w:headerReference w:type="default" r:id="rId20"/>
      <w:footerReference w:type="default" r:id="rId21"/>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904362" w:rsidP="00385122">
    <w:pPr>
      <w:pStyle w:val="Footer"/>
      <w:tabs>
        <w:tab w:val="clear" w:pos="4535"/>
        <w:tab w:val="center" w:pos="5387"/>
        <w:tab w:val="clear" w:pos="9071"/>
        <w:tab w:val="clear" w:pos="9921"/>
        <w:tab w:val="left" w:pos="10489"/>
      </w:tabs>
      <w:spacing w:before="0" w:after="240"/>
      <w:ind w:left="0" w:right="0"/>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 MERGEFORMAT </w:instrText>
    </w:r>
    <w:r>
      <w:fldChar w:fldCharType="separate"/>
    </w:r>
    <w:r w:rsidR="00391F54">
      <w:rPr>
        <w:noProof/>
      </w:rPr>
      <w:t>35</w:t>
    </w:r>
    <w:r>
      <w:fldChar w:fldCharType="end"/>
    </w:r>
    <w:r>
      <w:tab/>
    </w:r>
    <w:r>
      <w:rPr>
        <w:rFonts w:ascii="Arial" w:hAnsi="Arial" w:cs="Arial"/>
        <w:b/>
        <w:noProof/>
        <w:sz w:val="48"/>
      </w:rPr>
      <w:t>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2C4B81" w:rsidP="00376681">
    <w:pPr>
      <w:pStyle w:val="FooterLandscap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553C25" w:rsidP="00376681">
    <w:pPr>
      <w:pStyle w:val="Footer"/>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 MERGEFORMAT </w:instrText>
    </w:r>
    <w:r>
      <w:fldChar w:fldCharType="separate"/>
    </w:r>
    <w:r w:rsidR="00391F54">
      <w:rPr>
        <w:noProof/>
      </w:rPr>
      <w:t>39</w:t>
    </w:r>
    <w:r>
      <w:fldChar w:fldCharType="end"/>
    </w:r>
    <w:r>
      <w:tab/>
    </w:r>
    <w:r w:rsidRPr="007C3041">
      <w:tab/>
    </w:r>
    <w:r>
      <w:rPr>
        <w:rFonts w:ascii="Arial" w:hAnsi="Arial" w:cs="Arial"/>
        <w:b/>
        <w:noProof/>
        <w:sz w:val="48"/>
      </w:rPr>
      <w:t>FR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2C4B81" w:rsidP="003766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47688D">
    <w:pPr>
      <w:pStyle w:val="Footer"/>
      <w:rPr>
        <w:rFonts w:ascii="Arial" w:hAnsi="Arial" w:cs="Arial"/>
        <w:b/>
        <w:sz w:val="48"/>
      </w:rPr>
    </w:pPr>
    <w:r>
      <w:rPr>
        <w:rFonts w:ascii="Arial" w:hAnsi="Arial" w:cs="Arial"/>
        <w:b/>
        <w:noProof/>
        <w:sz w:val="48"/>
      </w:rPr>
      <w:t>FR</w:t>
    </w:r>
    <w:r w:rsidRPr="007C3041">
      <w:rPr>
        <w:rFonts w:ascii="Arial" w:hAnsi="Arial" w:cs="Arial"/>
        <w:b/>
        <w:sz w:val="48"/>
      </w:rPr>
      <w:tab/>
    </w:r>
    <w:r>
      <w:fldChar w:fldCharType="begin"/>
    </w:r>
    <w:r>
      <w:instrText xml:space="preserve"> PAGE  </w:instrText>
    </w:r>
    <w:r>
      <w:fldChar w:fldCharType="separate"/>
    </w:r>
    <w:r>
      <w:t>40</w:t>
    </w:r>
    <w:r>
      <w:fldChar w:fldCharType="end"/>
    </w:r>
    <w:r>
      <w:tab/>
    </w:r>
    <w:r w:rsidRPr="007C3041">
      <w:tab/>
    </w:r>
    <w:r>
      <w:rPr>
        <w:rFonts w:ascii="Arial" w:hAnsi="Arial" w:cs="Arial"/>
        <w:b/>
        <w:noProof/>
        <w:sz w:val="48"/>
      </w:rPr>
      <w:t>FR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0"/>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FR</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41</w:t>
    </w:r>
    <w:r w:rsidR="00A91FB2">
      <w:fldChar w:fldCharType="end"/>
    </w:r>
    <w:r w:rsidRPr="008E3442" w:rsidR="00A91FB2">
      <w:tab/>
    </w:r>
    <w:r w:rsidRPr="005F6C78" w:rsidR="00A91FB2">
      <w:rPr>
        <w:rFonts w:ascii="Arial" w:hAnsi="Arial" w:cs="Arial"/>
        <w:b/>
        <w:noProof/>
        <w:sz w:val="48"/>
        <w:szCs w:val="48"/>
        <w:lang w:val="fr-BE"/>
      </w:rPr>
      <w:t>FR</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1A4AC5">
    <w:pPr>
      <w:pStyle w:val="FooterLandscape0"/>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2C592F">
      <w:rPr>
        <w:rFonts w:ascii="Arial" w:hAnsi="Arial" w:cs="Arial"/>
        <w:b/>
        <w:noProof/>
        <w:sz w:val="48"/>
        <w:szCs w:val="48"/>
        <w:lang w:val="fr-BE"/>
      </w:rPr>
      <w:t>FR</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DD2742">
      <w:rPr>
        <w:noProof/>
      </w:rPr>
      <w:t>42</w:t>
    </w:r>
    <w:r w:rsidR="002C592F">
      <w:fldChar w:fldCharType="end"/>
    </w:r>
    <w:r w:rsidRPr="008E3442" w:rsidR="002C592F">
      <w:tab/>
    </w:r>
    <w:r w:rsidRPr="005F6C78" w:rsidR="002C592F">
      <w:rPr>
        <w:rFonts w:ascii="Arial" w:hAnsi="Arial" w:cs="Arial"/>
        <w:b/>
        <w:noProof/>
        <w:sz w:val="48"/>
        <w:szCs w:val="48"/>
        <w:lang w:val="fr-BE"/>
      </w:rPr>
      <w:t>FR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P="004F7833">
    <w:pPr>
      <w:pStyle w:val="Header"/>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20" w:name="m_admission"/>
    <w:r>
      <w:rPr>
        <w:noProof/>
      </w:rPr>
      <w:t>Admission</w:t>
    </w:r>
    <w:bookmarkEnd w:id="20"/>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F94EB6" w:rsidP="00376681">
    <w:pPr>
      <w:pStyle w:val="Header"/>
      <w:rPr>
        <w:lang w:val="fr-B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2C4B81" w:rsidP="00376681">
    <w:pPr>
      <w:pStyle w:val="HeaderLandscap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8A1A2B" w:rsidP="0037668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0F" w:rsidRPr="002C4B81" w:rsidP="0037668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0"/>
      <w:spacing w:before="0" w:after="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1"/>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multilevel"/>
    <w:tmpl w:val="7F8565A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hybridMultilevel"/>
    <w:tmpl w:val="7F8565B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hybridMultilevel"/>
    <w:tmpl w:val="7F8565B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8565B6"/>
    <w:multiLevelType w:val="hybridMultilevel"/>
    <w:tmpl w:val="7F8565B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8565B7"/>
    <w:multiLevelType w:val="hybridMultilevel"/>
    <w:tmpl w:val="7F8565B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8565B8"/>
    <w:multiLevelType w:val="hybridMultilevel"/>
    <w:tmpl w:val="7F8565B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8565B9"/>
    <w:multiLevelType w:val="hybridMultilevel"/>
    <w:tmpl w:val="7F8565B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8565BA"/>
    <w:multiLevelType w:val="hybridMultilevel"/>
    <w:tmpl w:val="7F8565B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8565BB"/>
    <w:multiLevelType w:val="hybridMultilevel"/>
    <w:tmpl w:val="7F8565B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8565BC"/>
    <w:multiLevelType w:val="hybridMultilevel"/>
    <w:tmpl w:val="7F8565B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multilevel"/>
    <w:tmpl w:val="7F8565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F8565C7"/>
    <w:multiLevelType w:val="multilevel"/>
    <w:tmpl w:val="7F856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F8565C8"/>
    <w:multiLevelType w:val="multilevel"/>
    <w:tmpl w:val="7F8565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308619568"/>
      <w:lvl w:ilvl="0">
        <w:start w:val="6"/>
        <w:numFmt w:val="decimal"/>
        <w:lvlText w:val="%1."/>
        <w:lvlJc w:val="left"/>
        <w:pPr>
          <w:tabs>
            <w:tab w:val="num" w:pos="992"/>
          </w:tabs>
          <w:ind w:left="992" w:hanging="850"/>
        </w:pPr>
        <w:rPr>
          <w:rFonts w:hint="default"/>
        </w:rPr>
      </w:lvl>
    </w:lvlOverride>
    <w:lvlOverride w:ilvl="1">
      <w:startOverride w:val="308620352"/>
      <w:lvl w:ilvl="1">
        <w:start w:val="1"/>
        <w:numFmt w:val="decimal"/>
        <w:lvlText w:val="%1.%2."/>
        <w:lvlJc w:val="left"/>
        <w:pPr>
          <w:tabs>
            <w:tab w:val="num" w:pos="850"/>
          </w:tabs>
          <w:ind w:left="850" w:hanging="850"/>
        </w:pPr>
        <w:rPr>
          <w:rFonts w:hint="default"/>
        </w:rPr>
      </w:lvl>
    </w:lvlOverride>
    <w:lvlOverride w:ilvl="2">
      <w:startOverride w:val="308619792"/>
      <w:lvl w:ilvl="2">
        <w:start w:val="1"/>
        <w:numFmt w:val="decimal"/>
        <w:lvlText w:val="%1.%2.%3."/>
        <w:lvlJc w:val="left"/>
        <w:pPr>
          <w:tabs>
            <w:tab w:val="num" w:pos="850"/>
          </w:tabs>
          <w:ind w:left="850" w:hanging="850"/>
        </w:pPr>
        <w:rPr>
          <w:rFonts w:hint="default"/>
          <w:b/>
        </w:rPr>
      </w:lvl>
    </w:lvlOverride>
    <w:lvlOverride w:ilvl="3">
      <w:startOverride w:val="308620576"/>
      <w:lvl w:ilvl="3">
        <w:start w:val="1"/>
        <w:numFmt w:val="decimal"/>
        <w:lvlText w:val="%1.%2.%3.%4."/>
        <w:lvlJc w:val="left"/>
        <w:pPr>
          <w:tabs>
            <w:tab w:val="num" w:pos="850"/>
          </w:tabs>
          <w:ind w:left="850" w:hanging="850"/>
        </w:pPr>
        <w:rPr>
          <w:rFonts w:hint="default"/>
        </w:rPr>
      </w:lvl>
    </w:lvlOverride>
    <w:lvlOverride w:ilvl="4">
      <w:startOverride w:val="308620464"/>
      <w:lvl w:ilvl="4">
        <w:start w:val="1"/>
        <w:numFmt w:val="lowerLetter"/>
        <w:lvlText w:val="(%5)"/>
        <w:lvlJc w:val="left"/>
        <w:pPr>
          <w:tabs>
            <w:tab w:val="num" w:pos="1800"/>
          </w:tabs>
          <w:ind w:left="1800" w:hanging="360"/>
        </w:pPr>
        <w:rPr>
          <w:rFonts w:hint="default"/>
        </w:rPr>
      </w:lvl>
    </w:lvlOverride>
    <w:lvlOverride w:ilvl="5">
      <w:startOverride w:val="308620128"/>
      <w:lvl w:ilvl="5">
        <w:start w:val="1"/>
        <w:numFmt w:val="lowerRoman"/>
        <w:lvlText w:val="(%6)"/>
        <w:lvlJc w:val="left"/>
        <w:pPr>
          <w:tabs>
            <w:tab w:val="num" w:pos="2160"/>
          </w:tabs>
          <w:ind w:left="2160" w:hanging="360"/>
        </w:pPr>
        <w:rPr>
          <w:rFonts w:hint="default"/>
        </w:rPr>
      </w:lvl>
    </w:lvlOverride>
    <w:lvlOverride w:ilvl="6">
      <w:startOverride w:val="308620800"/>
      <w:lvl w:ilvl="6">
        <w:start w:val="1"/>
        <w:numFmt w:val="decimal"/>
        <w:lvlText w:val="%7."/>
        <w:lvlJc w:val="left"/>
        <w:pPr>
          <w:tabs>
            <w:tab w:val="num" w:pos="2520"/>
          </w:tabs>
          <w:ind w:left="2520" w:hanging="360"/>
        </w:pPr>
        <w:rPr>
          <w:rFonts w:hint="default"/>
        </w:rPr>
      </w:lvl>
    </w:lvlOverride>
    <w:lvlOverride w:ilvl="7">
      <w:startOverride w:val="308619680"/>
      <w:lvl w:ilvl="7">
        <w:start w:val="1"/>
        <w:numFmt w:val="lowerLetter"/>
        <w:lvlText w:val="%8."/>
        <w:lvlJc w:val="left"/>
        <w:pPr>
          <w:tabs>
            <w:tab w:val="num" w:pos="2880"/>
          </w:tabs>
          <w:ind w:left="2880" w:hanging="360"/>
        </w:pPr>
        <w:rPr>
          <w:rFonts w:hint="default"/>
        </w:rPr>
      </w:lvl>
    </w:lvlOverride>
    <w:lvlOverride w:ilvl="8">
      <w:startOverride w:val="308619848"/>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13A7B"/>
    <w:rsid w:val="00030CC3"/>
    <w:rsid w:val="000315F4"/>
    <w:rsid w:val="00040967"/>
    <w:rsid w:val="00046E2A"/>
    <w:rsid w:val="00051C75"/>
    <w:rsid w:val="00051DD6"/>
    <w:rsid w:val="00053478"/>
    <w:rsid w:val="00064A75"/>
    <w:rsid w:val="00094173"/>
    <w:rsid w:val="000A3B64"/>
    <w:rsid w:val="000C0962"/>
    <w:rsid w:val="000C20E9"/>
    <w:rsid w:val="000D2496"/>
    <w:rsid w:val="000D367B"/>
    <w:rsid w:val="000E2AA1"/>
    <w:rsid w:val="0010704F"/>
    <w:rsid w:val="00111889"/>
    <w:rsid w:val="00112B5C"/>
    <w:rsid w:val="001365AD"/>
    <w:rsid w:val="0015397F"/>
    <w:rsid w:val="00154F4D"/>
    <w:rsid w:val="00171914"/>
    <w:rsid w:val="00173898"/>
    <w:rsid w:val="00175974"/>
    <w:rsid w:val="0019155C"/>
    <w:rsid w:val="001A1397"/>
    <w:rsid w:val="001A4A08"/>
    <w:rsid w:val="001A4AC5"/>
    <w:rsid w:val="001C6826"/>
    <w:rsid w:val="001E35B5"/>
    <w:rsid w:val="001E682E"/>
    <w:rsid w:val="001E7242"/>
    <w:rsid w:val="00201DE0"/>
    <w:rsid w:val="0021650F"/>
    <w:rsid w:val="00221037"/>
    <w:rsid w:val="002223BB"/>
    <w:rsid w:val="00224619"/>
    <w:rsid w:val="002270DD"/>
    <w:rsid w:val="00235FB7"/>
    <w:rsid w:val="00236B79"/>
    <w:rsid w:val="002571E2"/>
    <w:rsid w:val="002A3D25"/>
    <w:rsid w:val="002B6F87"/>
    <w:rsid w:val="002C0C21"/>
    <w:rsid w:val="002C4B81"/>
    <w:rsid w:val="002C592F"/>
    <w:rsid w:val="002C6D47"/>
    <w:rsid w:val="002E06F3"/>
    <w:rsid w:val="00321779"/>
    <w:rsid w:val="003257E4"/>
    <w:rsid w:val="00331A05"/>
    <w:rsid w:val="00356B4F"/>
    <w:rsid w:val="003579A1"/>
    <w:rsid w:val="00376681"/>
    <w:rsid w:val="0038170F"/>
    <w:rsid w:val="00384433"/>
    <w:rsid w:val="00384CED"/>
    <w:rsid w:val="00385122"/>
    <w:rsid w:val="0038606E"/>
    <w:rsid w:val="00391C87"/>
    <w:rsid w:val="00391F54"/>
    <w:rsid w:val="003A4B3F"/>
    <w:rsid w:val="003D1618"/>
    <w:rsid w:val="003E7115"/>
    <w:rsid w:val="003E726F"/>
    <w:rsid w:val="003F312A"/>
    <w:rsid w:val="004123E4"/>
    <w:rsid w:val="004347AF"/>
    <w:rsid w:val="00434D73"/>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90825"/>
    <w:rsid w:val="005A1CA2"/>
    <w:rsid w:val="005A5145"/>
    <w:rsid w:val="005A5785"/>
    <w:rsid w:val="005A6EF8"/>
    <w:rsid w:val="005C48A0"/>
    <w:rsid w:val="005D60C3"/>
    <w:rsid w:val="005E3257"/>
    <w:rsid w:val="005F6C78"/>
    <w:rsid w:val="00600727"/>
    <w:rsid w:val="00602338"/>
    <w:rsid w:val="00633F45"/>
    <w:rsid w:val="006343E7"/>
    <w:rsid w:val="00636EE1"/>
    <w:rsid w:val="006477CC"/>
    <w:rsid w:val="00656874"/>
    <w:rsid w:val="00664BEE"/>
    <w:rsid w:val="00673320"/>
    <w:rsid w:val="00687CC2"/>
    <w:rsid w:val="00697DA2"/>
    <w:rsid w:val="006A0BCE"/>
    <w:rsid w:val="006A2581"/>
    <w:rsid w:val="006C28F6"/>
    <w:rsid w:val="006C630D"/>
    <w:rsid w:val="006D4487"/>
    <w:rsid w:val="006E04F8"/>
    <w:rsid w:val="006E08BD"/>
    <w:rsid w:val="007056FA"/>
    <w:rsid w:val="00716640"/>
    <w:rsid w:val="00723C84"/>
    <w:rsid w:val="00725DB1"/>
    <w:rsid w:val="007314B2"/>
    <w:rsid w:val="00737CC1"/>
    <w:rsid w:val="00751387"/>
    <w:rsid w:val="00785519"/>
    <w:rsid w:val="007A65E2"/>
    <w:rsid w:val="007B0B32"/>
    <w:rsid w:val="007C3041"/>
    <w:rsid w:val="007D22A3"/>
    <w:rsid w:val="007E5180"/>
    <w:rsid w:val="007F1ECC"/>
    <w:rsid w:val="0083666D"/>
    <w:rsid w:val="0084560F"/>
    <w:rsid w:val="00846353"/>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32C57"/>
    <w:rsid w:val="00934FA7"/>
    <w:rsid w:val="009574BE"/>
    <w:rsid w:val="00963FAE"/>
    <w:rsid w:val="00977763"/>
    <w:rsid w:val="00977F41"/>
    <w:rsid w:val="009831C9"/>
    <w:rsid w:val="00990A5A"/>
    <w:rsid w:val="00991CF3"/>
    <w:rsid w:val="009937DA"/>
    <w:rsid w:val="009A2413"/>
    <w:rsid w:val="009A4CFA"/>
    <w:rsid w:val="009A51C8"/>
    <w:rsid w:val="009C5874"/>
    <w:rsid w:val="009C5CD5"/>
    <w:rsid w:val="009E24C0"/>
    <w:rsid w:val="009E5061"/>
    <w:rsid w:val="009F3013"/>
    <w:rsid w:val="009F56AD"/>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A22"/>
    <w:rsid w:val="00AD1925"/>
    <w:rsid w:val="00AE358A"/>
    <w:rsid w:val="00AE443E"/>
    <w:rsid w:val="00AE5C5A"/>
    <w:rsid w:val="00B01317"/>
    <w:rsid w:val="00B21263"/>
    <w:rsid w:val="00B21D3E"/>
    <w:rsid w:val="00B24927"/>
    <w:rsid w:val="00B268D3"/>
    <w:rsid w:val="00B50750"/>
    <w:rsid w:val="00B52CDD"/>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83557"/>
    <w:rsid w:val="00C83EDB"/>
    <w:rsid w:val="00C97767"/>
    <w:rsid w:val="00CB3B6C"/>
    <w:rsid w:val="00CB513D"/>
    <w:rsid w:val="00CC0A0F"/>
    <w:rsid w:val="00CC2601"/>
    <w:rsid w:val="00CD16CF"/>
    <w:rsid w:val="00CD24A9"/>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D0A72"/>
    <w:rsid w:val="00DD2742"/>
    <w:rsid w:val="00DE3223"/>
    <w:rsid w:val="00DE4546"/>
    <w:rsid w:val="00DF0D6A"/>
    <w:rsid w:val="00DF17ED"/>
    <w:rsid w:val="00E352CA"/>
    <w:rsid w:val="00E358CB"/>
    <w:rsid w:val="00E505CB"/>
    <w:rsid w:val="00E50D6A"/>
    <w:rsid w:val="00E5108F"/>
    <w:rsid w:val="00E515A9"/>
    <w:rsid w:val="00E61062"/>
    <w:rsid w:val="00E6210F"/>
    <w:rsid w:val="00E76F3F"/>
    <w:rsid w:val="00E82FA0"/>
    <w:rsid w:val="00E94987"/>
    <w:rsid w:val="00EA12D4"/>
    <w:rsid w:val="00EC7CD7"/>
    <w:rsid w:val="00ED27A3"/>
    <w:rsid w:val="00ED482A"/>
    <w:rsid w:val="00ED72CA"/>
    <w:rsid w:val="00EE26D8"/>
    <w:rsid w:val="00EF5E4D"/>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F3621"/>
  </w:rsids>
  <w:docVars>
    <w:docVar w:name="LW_DocType" w:val="NORMAL"/>
    <w:docVar w:name="LW_LANGUE" w:val="FR"/>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5643CD"/>
    <w:pPr>
      <w:spacing w:before="0" w:after="0"/>
      <w:ind w:left="240"/>
      <w:jc w:val="left"/>
    </w:pPr>
    <w:rPr>
      <w:rFonts w:ascii="Calibri" w:hAnsi="Calibri"/>
      <w:smallCaps/>
      <w:sz w:val="20"/>
      <w:szCs w:val="20"/>
    </w:rPr>
  </w:style>
  <w:style w:type="paragraph" w:styleId="TOC3">
    <w:name w:val="toc 3"/>
    <w:basedOn w:val="Normal"/>
    <w:next w:val="Normal"/>
    <w:uiPriority w:val="39"/>
    <w:rsid w:val="005643CD"/>
    <w:pPr>
      <w:spacing w:before="0" w:after="0"/>
      <w:ind w:left="480"/>
      <w:jc w:val="left"/>
    </w:pPr>
    <w:rPr>
      <w:rFonts w:ascii="Calibri" w:hAnsi="Calibri"/>
      <w:i/>
      <w:iCs/>
      <w:sz w:val="20"/>
      <w:szCs w:val="20"/>
    </w:rPr>
  </w:style>
  <w:style w:type="paragraph" w:styleId="TOC4">
    <w:name w:val="toc 4"/>
    <w:basedOn w:val="Normal"/>
    <w:next w:val="Normal"/>
    <w:uiPriority w:val="39"/>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FooterLandscape0">
    <w:name w:val="FooterLandscape_0"/>
    <w:basedOn w:val="Normal"/>
    <w:rsid w:val="005643CD"/>
    <w:pPr>
      <w:tabs>
        <w:tab w:val="center" w:pos="7285"/>
        <w:tab w:val="center" w:pos="10913"/>
        <w:tab w:val="right" w:pos="15137"/>
      </w:tabs>
      <w:spacing w:before="360" w:after="0"/>
      <w:ind w:left="-567" w:right="-567"/>
      <w:jc w:val="left"/>
    </w:pPr>
  </w:style>
  <w:style w:type="paragraph" w:customStyle="1" w:styleId="Heading10">
    <w:name w:val="Heading 1_0"/>
    <w:basedOn w:val="Normal"/>
    <w:next w:val="Normal0"/>
    <w:qFormat/>
    <w:rsid w:val="005643CD"/>
    <w:pPr>
      <w:keepNext/>
      <w:numPr>
        <w:numId w:val="7"/>
      </w:numPr>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Normal"/>
    <w:rsid w:val="005643CD"/>
    <w:pPr>
      <w:jc w:val="center"/>
    </w:pPr>
  </w:style>
  <w:style w:type="paragraph" w:customStyle="1" w:styleId="Header1">
    <w:name w:val="Header_1"/>
    <w:basedOn w:val="Normal"/>
    <w:rsid w:val="005643CD"/>
    <w:pPr>
      <w:tabs>
        <w:tab w:val="center" w:pos="4535"/>
        <w:tab w:val="right" w:pos="9071"/>
      </w:tabs>
    </w:pPr>
  </w:style>
  <w:style w:type="paragraph" w:customStyle="1" w:styleId="NormalLeft0">
    <w:name w:val="Normal Left_0"/>
    <w:basedOn w:val="Normal"/>
    <w:rsid w:val="005643CD"/>
    <w:pPr>
      <w:jc w:val="left"/>
    </w:p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8.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D599-B678-4946-A0AE-4855F407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42</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190</cp:revision>
  <dcterms:created xsi:type="dcterms:W3CDTF">2019-06-16T18:16:37Z</dcterms:created>
  <dcterms:modified xsi:type="dcterms:W3CDTF">2019-06-16T18:16:37Z</dcterms:modified>
</cp:coreProperties>
</file>