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5F01" w14:textId="5F996F4B" w:rsidR="00555224" w:rsidRDefault="00333009" w:rsidP="00783E68">
      <w:pPr>
        <w:pStyle w:val="Pagedecouverture"/>
        <w:rPr>
          <w:noProof/>
        </w:rPr>
      </w:pPr>
      <w:r>
        <w:rPr>
          <w:noProof/>
        </w:rPr>
        <w:pict w14:anchorId="099DB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B0E02DA-5C44-4C57-9F3C-12B1D09A8025" style="width:455.4pt;height:388.2pt">
            <v:imagedata r:id="rId11" o:title=""/>
          </v:shape>
        </w:pict>
      </w:r>
    </w:p>
    <w:p w14:paraId="57AD8A78" w14:textId="77777777" w:rsidR="00555224" w:rsidRDefault="00555224" w:rsidP="00555224">
      <w:pPr>
        <w:rPr>
          <w:noProof/>
        </w:rPr>
        <w:sectPr w:rsidR="00555224" w:rsidSect="00783E68">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14:paraId="37A60705" w14:textId="77777777" w:rsidR="00152894" w:rsidRDefault="00EA2959" w:rsidP="006A41E2">
      <w:pPr>
        <w:pStyle w:val="Annexetitre"/>
        <w:rPr>
          <w:noProof/>
        </w:rPr>
      </w:pPr>
      <w:r>
        <w:rPr>
          <w:noProof/>
        </w:rPr>
        <w:lastRenderedPageBreak/>
        <w:t>ANNEX</w:t>
      </w:r>
      <w:r>
        <w:rPr>
          <w:noProof/>
        </w:rPr>
        <w:br/>
      </w:r>
      <w:r w:rsidR="006A41E2" w:rsidRPr="006A41E2">
        <w:rPr>
          <w:bCs/>
          <w:noProof/>
        </w:rPr>
        <w:t>Template for the Annual Performance Report by the Member States to the Commission</w:t>
      </w:r>
      <w:r w:rsidR="00104E34">
        <w:rPr>
          <w:bCs/>
          <w:noProof/>
        </w:rPr>
        <w:t xml:space="preserve"> on</w:t>
      </w:r>
      <w:r w:rsidR="006A41E2" w:rsidRPr="006A41E2">
        <w:rPr>
          <w:bCs/>
          <w:noProof/>
        </w:rPr>
        <w:t xml:space="preserve"> the Internal Security Fund, as referred to in Article 30 of Regulation (EU) 2021/1149</w:t>
      </w:r>
    </w:p>
    <w:p w14:paraId="77681418" w14:textId="77777777" w:rsidR="006A41E2" w:rsidRPr="006A41E2" w:rsidRDefault="006A41E2" w:rsidP="006A41E2">
      <w:pPr>
        <w:pStyle w:val="ManualHeading1"/>
        <w:rPr>
          <w:noProof/>
        </w:rPr>
      </w:pPr>
      <w:r w:rsidRPr="006A41E2">
        <w:rPr>
          <w:noProof/>
        </w:rPr>
        <w:t>IDENTIFICATION</w:t>
      </w:r>
    </w:p>
    <w:tbl>
      <w:tblPr>
        <w:tblStyle w:val="TableGrid"/>
        <w:tblW w:w="0" w:type="auto"/>
        <w:tblLook w:val="04A0" w:firstRow="1" w:lastRow="0" w:firstColumn="1" w:lastColumn="0" w:noHBand="0" w:noVBand="1"/>
      </w:tblPr>
      <w:tblGrid>
        <w:gridCol w:w="4644"/>
        <w:gridCol w:w="4645"/>
      </w:tblGrid>
      <w:tr w:rsidR="006A41E2" w14:paraId="4572D604" w14:textId="77777777" w:rsidTr="00E45665">
        <w:tc>
          <w:tcPr>
            <w:tcW w:w="4644" w:type="dxa"/>
          </w:tcPr>
          <w:p w14:paraId="6ED7CF48" w14:textId="77777777" w:rsidR="006A41E2" w:rsidRDefault="006A41E2" w:rsidP="00E45665">
            <w:pPr>
              <w:pStyle w:val="Personnequisigne"/>
              <w:rPr>
                <w:noProof/>
              </w:rPr>
            </w:pPr>
            <w:r>
              <w:rPr>
                <w:noProof/>
              </w:rPr>
              <w:t>CCI</w:t>
            </w:r>
          </w:p>
        </w:tc>
        <w:tc>
          <w:tcPr>
            <w:tcW w:w="4645" w:type="dxa"/>
          </w:tcPr>
          <w:p w14:paraId="6837F304" w14:textId="1DF5EF69" w:rsidR="006A41E2" w:rsidRDefault="00726BFA" w:rsidP="00E45665">
            <w:pPr>
              <w:pStyle w:val="Personnequisigne"/>
              <w:rPr>
                <w:noProof/>
              </w:rPr>
            </w:pPr>
            <w:r w:rsidRPr="00726BFA">
              <w:rPr>
                <w:noProof/>
              </w:rPr>
              <w:t>2021BE65ISPR001</w:t>
            </w:r>
          </w:p>
        </w:tc>
      </w:tr>
      <w:tr w:rsidR="006A41E2" w14:paraId="27126217" w14:textId="77777777" w:rsidTr="00E45665">
        <w:tc>
          <w:tcPr>
            <w:tcW w:w="4644" w:type="dxa"/>
          </w:tcPr>
          <w:p w14:paraId="61893111" w14:textId="77777777" w:rsidR="006A41E2" w:rsidRDefault="006A41E2" w:rsidP="00E45665">
            <w:pPr>
              <w:pStyle w:val="Personnequisigne"/>
              <w:rPr>
                <w:noProof/>
              </w:rPr>
            </w:pPr>
            <w:r>
              <w:rPr>
                <w:noProof/>
              </w:rPr>
              <w:t>Title</w:t>
            </w:r>
          </w:p>
        </w:tc>
        <w:tc>
          <w:tcPr>
            <w:tcW w:w="4645" w:type="dxa"/>
          </w:tcPr>
          <w:p w14:paraId="672C3C4E" w14:textId="55200C9E" w:rsidR="006A41E2" w:rsidRDefault="00726BFA" w:rsidP="00E45665">
            <w:pPr>
              <w:pStyle w:val="Personnequisigne"/>
              <w:rPr>
                <w:noProof/>
              </w:rPr>
            </w:pPr>
            <w:r>
              <w:rPr>
                <w:noProof/>
              </w:rPr>
              <w:t>National Programme Belgium - ISF</w:t>
            </w:r>
          </w:p>
        </w:tc>
      </w:tr>
      <w:tr w:rsidR="006A41E2" w14:paraId="1C58E2B9" w14:textId="77777777" w:rsidTr="00E45665">
        <w:tc>
          <w:tcPr>
            <w:tcW w:w="4644" w:type="dxa"/>
          </w:tcPr>
          <w:p w14:paraId="0749D976" w14:textId="77777777" w:rsidR="006A41E2" w:rsidRDefault="006A41E2" w:rsidP="00E45665">
            <w:pPr>
              <w:pStyle w:val="Personnequisigne"/>
              <w:rPr>
                <w:noProof/>
              </w:rPr>
            </w:pPr>
            <w:r>
              <w:rPr>
                <w:noProof/>
              </w:rPr>
              <w:t>Version</w:t>
            </w:r>
          </w:p>
        </w:tc>
        <w:tc>
          <w:tcPr>
            <w:tcW w:w="4645" w:type="dxa"/>
          </w:tcPr>
          <w:p w14:paraId="372833D2" w14:textId="3C90DAA1" w:rsidR="006A41E2" w:rsidRDefault="00726BFA" w:rsidP="000648DF">
            <w:pPr>
              <w:pStyle w:val="Personnequisigne"/>
              <w:rPr>
                <w:noProof/>
              </w:rPr>
            </w:pPr>
            <w:r>
              <w:rPr>
                <w:noProof/>
              </w:rPr>
              <w:t>1.</w:t>
            </w:r>
            <w:r w:rsidR="000648DF">
              <w:rPr>
                <w:noProof/>
              </w:rPr>
              <w:t>3</w:t>
            </w:r>
          </w:p>
        </w:tc>
      </w:tr>
      <w:tr w:rsidR="006A41E2" w14:paraId="75E65B32" w14:textId="77777777" w:rsidTr="00E45665">
        <w:tc>
          <w:tcPr>
            <w:tcW w:w="4644" w:type="dxa"/>
          </w:tcPr>
          <w:p w14:paraId="18FE881C" w14:textId="77777777" w:rsidR="006A41E2" w:rsidRDefault="006A41E2" w:rsidP="00E45665">
            <w:pPr>
              <w:pStyle w:val="Personnequisigne"/>
              <w:rPr>
                <w:noProof/>
              </w:rPr>
            </w:pPr>
            <w:r>
              <w:rPr>
                <w:noProof/>
              </w:rPr>
              <w:t>Accounting year</w:t>
            </w:r>
          </w:p>
        </w:tc>
        <w:tc>
          <w:tcPr>
            <w:tcW w:w="4645" w:type="dxa"/>
          </w:tcPr>
          <w:p w14:paraId="77B856C9" w14:textId="74DBC9B1" w:rsidR="006A41E2" w:rsidRDefault="00726BFA" w:rsidP="00E45665">
            <w:pPr>
              <w:pStyle w:val="Personnequisigne"/>
              <w:rPr>
                <w:noProof/>
              </w:rPr>
            </w:pPr>
            <w:r>
              <w:rPr>
                <w:noProof/>
              </w:rPr>
              <w:t>01/07/2022 – 30/06/2023</w:t>
            </w:r>
          </w:p>
        </w:tc>
      </w:tr>
      <w:tr w:rsidR="006A41E2" w14:paraId="4573001C" w14:textId="77777777" w:rsidTr="00E45665">
        <w:tc>
          <w:tcPr>
            <w:tcW w:w="4644" w:type="dxa"/>
          </w:tcPr>
          <w:p w14:paraId="214588DF" w14:textId="77777777" w:rsidR="006A41E2" w:rsidRDefault="006A41E2" w:rsidP="00E45665">
            <w:pPr>
              <w:pStyle w:val="Personnequisigne"/>
              <w:rPr>
                <w:noProof/>
              </w:rPr>
            </w:pPr>
            <w:r>
              <w:rPr>
                <w:noProof/>
              </w:rPr>
              <w:t>Date of approval of the report by the monitoring committee</w:t>
            </w:r>
          </w:p>
        </w:tc>
        <w:tc>
          <w:tcPr>
            <w:tcW w:w="4645" w:type="dxa"/>
          </w:tcPr>
          <w:p w14:paraId="03A0A8A9" w14:textId="1A457096" w:rsidR="006A41E2" w:rsidRDefault="00726BFA" w:rsidP="00E45665">
            <w:pPr>
              <w:pStyle w:val="Personnequisigne"/>
              <w:rPr>
                <w:noProof/>
              </w:rPr>
            </w:pPr>
            <w:r>
              <w:rPr>
                <w:noProof/>
              </w:rPr>
              <w:t>06/02/2023</w:t>
            </w:r>
          </w:p>
        </w:tc>
      </w:tr>
    </w:tbl>
    <w:p w14:paraId="67D80C29" w14:textId="2DF030D0" w:rsidR="006A41E2" w:rsidRDefault="004C5B3C" w:rsidP="004C5B3C">
      <w:pPr>
        <w:pStyle w:val="ManualHeading1"/>
        <w:rPr>
          <w:noProof/>
        </w:rPr>
      </w:pPr>
      <w:r w:rsidRPr="004C5B3C">
        <w:t>1.</w:t>
      </w:r>
      <w:r w:rsidRPr="004C5B3C">
        <w:tab/>
      </w:r>
      <w:r w:rsidR="006A41E2">
        <w:rPr>
          <w:noProof/>
        </w:rPr>
        <w:t>Performance</w:t>
      </w:r>
    </w:p>
    <w:p w14:paraId="66576080" w14:textId="70815D96" w:rsidR="006A41E2" w:rsidRDefault="004C5B3C" w:rsidP="004C5B3C">
      <w:pPr>
        <w:pStyle w:val="ManualHeading2"/>
        <w:rPr>
          <w:noProof/>
        </w:rPr>
      </w:pPr>
      <w:r w:rsidRPr="004C5B3C">
        <w:t>1.1.</w:t>
      </w:r>
      <w:r w:rsidRPr="004C5B3C">
        <w:tab/>
      </w:r>
      <w:r w:rsidR="006A41E2" w:rsidRPr="00D378BC">
        <w:rPr>
          <w:noProof/>
        </w:rPr>
        <w:t xml:space="preserve">Progress in implementation – </w:t>
      </w:r>
      <w:r w:rsidR="00AA72E3" w:rsidRPr="00D378BC">
        <w:rPr>
          <w:noProof/>
        </w:rPr>
        <w:t>A</w:t>
      </w:r>
      <w:r w:rsidR="006A41E2" w:rsidRPr="00D378BC">
        <w:rPr>
          <w:noProof/>
        </w:rPr>
        <w:t>rticle 30(2)</w:t>
      </w:r>
      <w:r w:rsidR="002F1935" w:rsidRPr="00D378BC">
        <w:rPr>
          <w:noProof/>
        </w:rPr>
        <w:t>,</w:t>
      </w:r>
      <w:r w:rsidR="006A41E2" w:rsidRPr="00D378BC">
        <w:rPr>
          <w:noProof/>
        </w:rPr>
        <w:t xml:space="preserve"> point (a)</w:t>
      </w:r>
      <w:r w:rsidR="002F1935" w:rsidRPr="00D378BC">
        <w:rPr>
          <w:noProof/>
        </w:rPr>
        <w:t>,</w:t>
      </w:r>
      <w:r w:rsidR="006A41E2" w:rsidRPr="00D378BC">
        <w:rPr>
          <w:noProof/>
        </w:rPr>
        <w:t xml:space="preserve"> of Regulation (EU) 2021/1149</w:t>
      </w:r>
    </w:p>
    <w:p w14:paraId="411E0603" w14:textId="77777777" w:rsidR="006A41E2" w:rsidRPr="006A41E2" w:rsidRDefault="006A41E2" w:rsidP="006A41E2">
      <w:pPr>
        <w:rPr>
          <w:noProof/>
          <w:sz w:val="22"/>
        </w:rPr>
      </w:pPr>
      <w:r w:rsidRPr="006A41E2">
        <w:rPr>
          <w:noProof/>
          <w:sz w:val="22"/>
        </w:rPr>
        <w:t xml:space="preserve">For each specific objective, report on progress in </w:t>
      </w:r>
      <w:r w:rsidR="002C4A46">
        <w:rPr>
          <w:noProof/>
          <w:sz w:val="22"/>
        </w:rPr>
        <w:t>implementing</w:t>
      </w:r>
      <w:r w:rsidRPr="006A41E2">
        <w:rPr>
          <w:noProof/>
          <w:sz w:val="22"/>
        </w:rPr>
        <w:t xml:space="preserve"> the programme and in achieving the milestones and targets set out </w:t>
      </w:r>
      <w:r w:rsidR="002C4A46">
        <w:rPr>
          <w:noProof/>
          <w:sz w:val="22"/>
        </w:rPr>
        <w:t xml:space="preserve">in </w:t>
      </w:r>
      <w:r w:rsidR="00BE662A">
        <w:rPr>
          <w:noProof/>
          <w:sz w:val="22"/>
        </w:rPr>
        <w:t>it</w:t>
      </w:r>
      <w:r w:rsidRPr="006A41E2">
        <w:rPr>
          <w:noProof/>
          <w:sz w:val="22"/>
        </w:rPr>
        <w:t>, taking into account the most recent data for the accounting year</w:t>
      </w:r>
      <w:r w:rsidR="00930399">
        <w:rPr>
          <w:noProof/>
          <w:sz w:val="22"/>
        </w:rPr>
        <w:t>,</w:t>
      </w:r>
      <w:r w:rsidRPr="006A41E2">
        <w:rPr>
          <w:noProof/>
          <w:sz w:val="22"/>
        </w:rPr>
        <w:t xml:space="preserve"> as required under Article 42 of Regulation (EU) 2021/1060. This refers to the cumulative data provided by 31</w:t>
      </w:r>
      <w:r w:rsidR="0071685A">
        <w:rPr>
          <w:noProof/>
          <w:sz w:val="22"/>
        </w:rPr>
        <w:t> </w:t>
      </w:r>
      <w:r w:rsidRPr="006A41E2">
        <w:rPr>
          <w:noProof/>
          <w:sz w:val="22"/>
        </w:rPr>
        <w:t xml:space="preserve">July of the year </w:t>
      </w:r>
      <w:r w:rsidR="00BE662A">
        <w:rPr>
          <w:noProof/>
          <w:sz w:val="22"/>
        </w:rPr>
        <w:t>before</w:t>
      </w:r>
      <w:r w:rsidRPr="006A41E2">
        <w:rPr>
          <w:noProof/>
          <w:sz w:val="22"/>
        </w:rPr>
        <w:t xml:space="preserve"> the </w:t>
      </w:r>
      <w:r w:rsidR="002C4A46">
        <w:rPr>
          <w:noProof/>
          <w:sz w:val="22"/>
        </w:rPr>
        <w:t>year that</w:t>
      </w:r>
      <w:r w:rsidRPr="006A41E2">
        <w:rPr>
          <w:noProof/>
          <w:sz w:val="22"/>
        </w:rPr>
        <w:t xml:space="preserve"> the report</w:t>
      </w:r>
      <w:r w:rsidR="002C4A46">
        <w:rPr>
          <w:noProof/>
          <w:sz w:val="22"/>
        </w:rPr>
        <w:t xml:space="preserve"> is submitted</w:t>
      </w:r>
      <w:r w:rsidRPr="006A41E2">
        <w:rPr>
          <w:noProof/>
          <w:sz w:val="22"/>
        </w:rPr>
        <w:t>.</w:t>
      </w:r>
    </w:p>
    <w:p w14:paraId="37D97011" w14:textId="77777777" w:rsidR="006A41E2" w:rsidRPr="006A41E2" w:rsidRDefault="006A41E2" w:rsidP="006A41E2">
      <w:pPr>
        <w:rPr>
          <w:noProof/>
          <w:sz w:val="22"/>
        </w:rPr>
      </w:pPr>
      <w:r w:rsidRPr="006A41E2">
        <w:rPr>
          <w:noProof/>
          <w:sz w:val="22"/>
        </w:rPr>
        <w:t xml:space="preserve">Within each specific objective, </w:t>
      </w:r>
      <w:r w:rsidR="00B83642">
        <w:rPr>
          <w:noProof/>
          <w:sz w:val="22"/>
        </w:rPr>
        <w:t xml:space="preserve">the </w:t>
      </w:r>
      <w:r w:rsidRPr="006A41E2">
        <w:rPr>
          <w:noProof/>
          <w:sz w:val="22"/>
        </w:rPr>
        <w:t xml:space="preserve">information on progress should preferably be structured around the implementation measures, indicative actions and desired outcomes identified in the </w:t>
      </w:r>
      <w:r w:rsidR="006C5C3B">
        <w:rPr>
          <w:noProof/>
          <w:sz w:val="22"/>
        </w:rPr>
        <w:t>p</w:t>
      </w:r>
      <w:r w:rsidRPr="006A41E2">
        <w:rPr>
          <w:noProof/>
          <w:sz w:val="22"/>
        </w:rPr>
        <w:t xml:space="preserve">rogramme. </w:t>
      </w:r>
    </w:p>
    <w:p w14:paraId="2BAD00E3" w14:textId="4DD00C56" w:rsidR="006A41E2" w:rsidRPr="006A41E2" w:rsidRDefault="001F7F00" w:rsidP="006A41E2">
      <w:pPr>
        <w:rPr>
          <w:noProof/>
          <w:sz w:val="22"/>
        </w:rPr>
      </w:pPr>
      <w:r>
        <w:rPr>
          <w:noProof/>
          <w:sz w:val="22"/>
        </w:rPr>
        <w:t>D</w:t>
      </w:r>
      <w:r w:rsidRPr="00C8307A">
        <w:rPr>
          <w:noProof/>
          <w:sz w:val="22"/>
        </w:rPr>
        <w:t xml:space="preserve">escribe </w:t>
      </w:r>
      <w:r>
        <w:rPr>
          <w:noProof/>
          <w:sz w:val="22"/>
        </w:rPr>
        <w:t xml:space="preserve">also </w:t>
      </w:r>
      <w:r w:rsidRPr="00C8307A">
        <w:rPr>
          <w:noProof/>
          <w:sz w:val="22"/>
        </w:rPr>
        <w:t xml:space="preserve">any steps taken </w:t>
      </w:r>
      <w:r>
        <w:rPr>
          <w:noProof/>
          <w:sz w:val="22"/>
        </w:rPr>
        <w:t>and relevant activities related to the implementation of the</w:t>
      </w:r>
      <w:r w:rsidRPr="00C8307A">
        <w:rPr>
          <w:noProof/>
          <w:sz w:val="22"/>
        </w:rPr>
        <w:t xml:space="preserve"> partnership</w:t>
      </w:r>
      <w:r>
        <w:rPr>
          <w:noProof/>
          <w:sz w:val="22"/>
        </w:rPr>
        <w:t xml:space="preserve"> as per Article 8(2) of Regulation (EU) 2021/1060.</w:t>
      </w:r>
      <w:r w:rsidR="006A41E2" w:rsidRPr="006A41E2">
        <w:rPr>
          <w:noProof/>
          <w:sz w:val="22"/>
        </w:rPr>
        <w:t xml:space="preserve"> </w:t>
      </w:r>
    </w:p>
    <w:tbl>
      <w:tblPr>
        <w:tblStyle w:val="TableGrid"/>
        <w:tblW w:w="0" w:type="auto"/>
        <w:tblLook w:val="04A0" w:firstRow="1" w:lastRow="0" w:firstColumn="1" w:lastColumn="0" w:noHBand="0" w:noVBand="1"/>
      </w:tblPr>
      <w:tblGrid>
        <w:gridCol w:w="9289"/>
      </w:tblGrid>
      <w:tr w:rsidR="006A41E2" w14:paraId="716724D8" w14:textId="77777777" w:rsidTr="00E45665">
        <w:tc>
          <w:tcPr>
            <w:tcW w:w="9289" w:type="dxa"/>
          </w:tcPr>
          <w:p w14:paraId="4C61D405" w14:textId="657C3981" w:rsidR="00104153" w:rsidRPr="00104153" w:rsidRDefault="00104153" w:rsidP="00147182">
            <w:pPr>
              <w:pStyle w:val="Personnequisigne"/>
              <w:jc w:val="both"/>
            </w:pPr>
          </w:p>
          <w:p w14:paraId="6D4EB31E" w14:textId="0A328917" w:rsidR="00D36DBA" w:rsidRDefault="00104153" w:rsidP="00726BFA">
            <w:pPr>
              <w:pStyle w:val="Institutionquisigne"/>
              <w:spacing w:before="0"/>
            </w:pPr>
            <w:r>
              <w:t>During the reference period (01/07/2022 – 30/06/2023)</w:t>
            </w:r>
            <w:r w:rsidR="00022818">
              <w:t>,</w:t>
            </w:r>
            <w:r>
              <w:t xml:space="preserve"> 13 projects </w:t>
            </w:r>
            <w:r w:rsidR="00726BFA">
              <w:t xml:space="preserve">were selected </w:t>
            </w:r>
            <w:r w:rsidR="00FD3E3C">
              <w:t>under the ISF N</w:t>
            </w:r>
            <w:r>
              <w:t xml:space="preserve">ational </w:t>
            </w:r>
            <w:r w:rsidR="00FD3E3C">
              <w:t>P</w:t>
            </w:r>
            <w:r>
              <w:t>rogramme</w:t>
            </w:r>
            <w:r w:rsidR="005A6696">
              <w:t xml:space="preserve">. These account </w:t>
            </w:r>
            <w:r>
              <w:t>for a total project cost of € 30.533.987,09</w:t>
            </w:r>
            <w:r w:rsidR="00D36DBA">
              <w:t xml:space="preserve"> and a </w:t>
            </w:r>
            <w:r w:rsidR="00FD3E3C">
              <w:t xml:space="preserve">total </w:t>
            </w:r>
            <w:r w:rsidR="00D36DBA">
              <w:t xml:space="preserve">EU subsidy </w:t>
            </w:r>
            <w:r w:rsidR="00FD3E3C">
              <w:t xml:space="preserve">amount </w:t>
            </w:r>
            <w:r w:rsidR="00856A52">
              <w:t>of € 24.949.779,03</w:t>
            </w:r>
            <w:r w:rsidR="005A6696">
              <w:t>.</w:t>
            </w:r>
          </w:p>
          <w:p w14:paraId="5D7B5BBC" w14:textId="77777777" w:rsidR="00D36DBA" w:rsidRDefault="00D36DBA" w:rsidP="00726BFA">
            <w:pPr>
              <w:pStyle w:val="Institutionquisigne"/>
              <w:spacing w:before="0"/>
            </w:pPr>
          </w:p>
          <w:p w14:paraId="31D70A5E" w14:textId="78E4F3AA" w:rsidR="00104153" w:rsidRDefault="009808C1" w:rsidP="00726BFA">
            <w:pPr>
              <w:pStyle w:val="Institutionquisigne"/>
              <w:spacing w:before="0"/>
            </w:pPr>
            <w:r>
              <w:t>All</w:t>
            </w:r>
            <w:r w:rsidR="0075534C">
              <w:t xml:space="preserve"> the projects were selected via a ‘direct award’ procedure. No ‘open calls’ were launched.</w:t>
            </w:r>
          </w:p>
          <w:p w14:paraId="0296E3BC" w14:textId="69F4F65E" w:rsidR="00104153" w:rsidRDefault="00104153" w:rsidP="00726BFA">
            <w:pPr>
              <w:pStyle w:val="Institutionquisigne"/>
              <w:spacing w:before="0"/>
            </w:pPr>
          </w:p>
          <w:p w14:paraId="759C7672" w14:textId="7C3CB139" w:rsidR="00104153" w:rsidRDefault="00104153" w:rsidP="00726BFA">
            <w:pPr>
              <w:pStyle w:val="Personnequisigne"/>
              <w:jc w:val="both"/>
            </w:pPr>
            <w:r>
              <w:t>The majority of the projects</w:t>
            </w:r>
            <w:r w:rsidR="004E701A">
              <w:t xml:space="preserve"> (8 in total)</w:t>
            </w:r>
            <w:r w:rsidR="005A6696">
              <w:t xml:space="preserve"> </w:t>
            </w:r>
            <w:r>
              <w:t>fa</w:t>
            </w:r>
            <w:r w:rsidR="00E512F1">
              <w:t xml:space="preserve">ll under </w:t>
            </w:r>
            <w:r w:rsidR="0075534C">
              <w:t>SO</w:t>
            </w:r>
            <w:r w:rsidR="00822FE7">
              <w:t>1</w:t>
            </w:r>
            <w:r w:rsidR="003635E8">
              <w:t>. These projects</w:t>
            </w:r>
            <w:r w:rsidR="0075534C">
              <w:t xml:space="preserve"> focus </w:t>
            </w:r>
            <w:r w:rsidR="004E701A">
              <w:t xml:space="preserve">primarily </w:t>
            </w:r>
            <w:r w:rsidR="0075534C">
              <w:t xml:space="preserve">on the development, implementation and/or maintenance of different (existing) information exchange systems and networks. </w:t>
            </w:r>
            <w:r w:rsidR="0034446C">
              <w:t>The desired outcomes / expected results are a continued and up-to-date functioning and interoperability of national and international security-related information exchange systems and networks, with a special focus on BE’s obligations under the PNR Directive and under the Prüm Convention; the accreditation of technical and scientific laboratories of the Federal Judicial Police, in line with the relevant EU Directives;</w:t>
            </w:r>
            <w:r w:rsidR="00B46E02">
              <w:t xml:space="preserve"> </w:t>
            </w:r>
            <w:r w:rsidR="0034446C">
              <w:t>an increased and improved exchange of tactical information between Special Investigation Units; and a high level of IT-security in the context of the implementation of the various security</w:t>
            </w:r>
            <w:r w:rsidR="00B46E02">
              <w:t>-</w:t>
            </w:r>
            <w:r w:rsidR="0034446C">
              <w:t xml:space="preserve">related projects aimed at bringing BE’s situation in line with the relevant EU acquis. </w:t>
            </w:r>
            <w:r w:rsidR="005A6696">
              <w:t xml:space="preserve">Of </w:t>
            </w:r>
            <w:r w:rsidR="00B46E02">
              <w:t xml:space="preserve">all </w:t>
            </w:r>
            <w:r w:rsidR="0034446C">
              <w:t>the selected project</w:t>
            </w:r>
            <w:r w:rsidR="00B46E02">
              <w:t>s</w:t>
            </w:r>
            <w:r w:rsidR="005A6696">
              <w:t xml:space="preserve">, </w:t>
            </w:r>
            <w:r w:rsidR="003635E8">
              <w:t>the API/PNR</w:t>
            </w:r>
            <w:r w:rsidR="005A6696">
              <w:t xml:space="preserve"> project </w:t>
            </w:r>
            <w:r w:rsidR="0034446C">
              <w:t xml:space="preserve">of the IT department of the Ministry of Home Affairs </w:t>
            </w:r>
            <w:r w:rsidR="00B46E02">
              <w:t>receives</w:t>
            </w:r>
            <w:r w:rsidR="003635E8">
              <w:t xml:space="preserve"> </w:t>
            </w:r>
            <w:r w:rsidR="00B46E02">
              <w:t>1</w:t>
            </w:r>
            <w:r w:rsidR="003635E8">
              <w:t xml:space="preserve">00% </w:t>
            </w:r>
            <w:r w:rsidR="00B46E02">
              <w:t xml:space="preserve">EU funding </w:t>
            </w:r>
            <w:r w:rsidR="00A86855">
              <w:t>in the context of</w:t>
            </w:r>
            <w:r w:rsidR="003635E8">
              <w:t xml:space="preserve"> operating</w:t>
            </w:r>
            <w:r w:rsidR="0034446C">
              <w:t xml:space="preserve"> support</w:t>
            </w:r>
            <w:r w:rsidR="003635E8">
              <w:t xml:space="preserve">. </w:t>
            </w:r>
            <w:r w:rsidR="005A6696">
              <w:t xml:space="preserve">The total project cost </w:t>
            </w:r>
            <w:r w:rsidR="00A86855">
              <w:t>under</w:t>
            </w:r>
            <w:r w:rsidR="005A6696">
              <w:t xml:space="preserve"> SO1 is € 28.330.930,66</w:t>
            </w:r>
            <w:r w:rsidR="00A86855">
              <w:t>,</w:t>
            </w:r>
            <w:r w:rsidR="005A6696">
              <w:t xml:space="preserve"> </w:t>
            </w:r>
            <w:r w:rsidR="0032287F">
              <w:t>of which</w:t>
            </w:r>
            <w:r w:rsidR="005A6696">
              <w:t xml:space="preserve"> € 23.297.943,02</w:t>
            </w:r>
            <w:r w:rsidR="0032287F">
              <w:t xml:space="preserve"> </w:t>
            </w:r>
            <w:r w:rsidR="00A86855">
              <w:t xml:space="preserve">in terms of </w:t>
            </w:r>
            <w:r w:rsidR="0032287F">
              <w:t>EU subsidy</w:t>
            </w:r>
            <w:r w:rsidR="00A86855">
              <w:t xml:space="preserve"> amount</w:t>
            </w:r>
            <w:r w:rsidR="005A6696">
              <w:t>.</w:t>
            </w:r>
          </w:p>
          <w:p w14:paraId="4011A464" w14:textId="4751AD1C" w:rsidR="003635E8" w:rsidRDefault="003635E8" w:rsidP="00726BFA">
            <w:pPr>
              <w:pStyle w:val="Institutionquisigne"/>
              <w:spacing w:before="0"/>
            </w:pPr>
          </w:p>
          <w:p w14:paraId="20B19A02" w14:textId="2F0BC6B6" w:rsidR="00104153" w:rsidRDefault="0034446C" w:rsidP="00726BFA">
            <w:pPr>
              <w:pStyle w:val="Personnequisigne"/>
              <w:jc w:val="both"/>
            </w:pPr>
            <w:r>
              <w:t>Under SO2</w:t>
            </w:r>
            <w:r w:rsidR="00A86855">
              <w:t>,</w:t>
            </w:r>
            <w:r>
              <w:t xml:space="preserve"> the funding is focused on improving the coordination and operational cooperation between different EU MS and EU agencies. In th</w:t>
            </w:r>
            <w:r w:rsidR="00B66128">
              <w:t>e</w:t>
            </w:r>
            <w:r>
              <w:t xml:space="preserve"> context</w:t>
            </w:r>
            <w:r w:rsidR="00B66128">
              <w:t xml:space="preserve"> of the continued implementation of the PNR Directive as an important policy priority, BE took up a leadership role with</w:t>
            </w:r>
            <w:r>
              <w:t xml:space="preserve"> the establishment of an EU Passenger Information Unit </w:t>
            </w:r>
            <w:r w:rsidR="00B66128">
              <w:t xml:space="preserve">(PIU) </w:t>
            </w:r>
            <w:r>
              <w:t>Network</w:t>
            </w:r>
            <w:r w:rsidR="00B66128">
              <w:t xml:space="preserve">, thereby </w:t>
            </w:r>
            <w:r w:rsidR="00B66128">
              <w:lastRenderedPageBreak/>
              <w:t>ensuring the continued operational cooperation and fine-tuning between relevant PIU’s. This is the only pro</w:t>
            </w:r>
            <w:r w:rsidR="00726BFA">
              <w:t>ject to date selected under SO2.</w:t>
            </w:r>
            <w:r w:rsidR="00B66128">
              <w:t xml:space="preserve"> The </w:t>
            </w:r>
            <w:r>
              <w:t xml:space="preserve">total budget </w:t>
            </w:r>
            <w:r w:rsidR="00B66128">
              <w:t xml:space="preserve">allocated is </w:t>
            </w:r>
            <w:r>
              <w:t>€ 464.999,99</w:t>
            </w:r>
            <w:r w:rsidR="00685181">
              <w:t>,</w:t>
            </w:r>
            <w:r>
              <w:t xml:space="preserve"> </w:t>
            </w:r>
            <w:r w:rsidR="00B66128">
              <w:t>of which € 348.749,99</w:t>
            </w:r>
            <w:r>
              <w:t xml:space="preserve"> </w:t>
            </w:r>
            <w:r w:rsidR="00685181">
              <w:t xml:space="preserve">in terms of </w:t>
            </w:r>
            <w:r>
              <w:t>EU</w:t>
            </w:r>
            <w:r w:rsidR="00B66128">
              <w:t xml:space="preserve"> subsidy.</w:t>
            </w:r>
          </w:p>
          <w:p w14:paraId="5E01F5D4" w14:textId="5D5B4BDE" w:rsidR="00762396" w:rsidRDefault="00762396" w:rsidP="00726BFA">
            <w:pPr>
              <w:pStyle w:val="Institutionquisigne"/>
              <w:spacing w:before="0"/>
            </w:pPr>
          </w:p>
          <w:p w14:paraId="127A69A1" w14:textId="2E2E4F8F" w:rsidR="00762396" w:rsidRDefault="00915096" w:rsidP="00726BFA">
            <w:pPr>
              <w:pStyle w:val="Personnequisigne"/>
              <w:jc w:val="both"/>
            </w:pPr>
            <w:r>
              <w:t xml:space="preserve">The </w:t>
            </w:r>
            <w:r w:rsidR="006E6E14">
              <w:t>project</w:t>
            </w:r>
            <w:r w:rsidR="00726BFA">
              <w:t>s</w:t>
            </w:r>
            <w:r w:rsidR="006E6E14">
              <w:t xml:space="preserve"> </w:t>
            </w:r>
            <w:r>
              <w:t>u</w:t>
            </w:r>
            <w:r w:rsidR="00762396">
              <w:t xml:space="preserve">nder SO3 </w:t>
            </w:r>
            <w:r w:rsidR="000B7900">
              <w:t>focus</w:t>
            </w:r>
            <w:r w:rsidR="00762396">
              <w:t xml:space="preserve"> on</w:t>
            </w:r>
            <w:r>
              <w:t xml:space="preserve"> </w:t>
            </w:r>
            <w:r w:rsidR="00726BFA">
              <w:t>the detection and prevention</w:t>
            </w:r>
            <w:r>
              <w:t xml:space="preserve"> of radicalization</w:t>
            </w:r>
            <w:r w:rsidR="00726BFA">
              <w:t>, crime</w:t>
            </w:r>
            <w:r>
              <w:t xml:space="preserve"> recidivism or new crimes in society by improving the knowledge and skills of staff working in detention units and the development of </w:t>
            </w:r>
            <w:r w:rsidRPr="00915096">
              <w:t>‘multi-disciplinary &amp; multi-agency drugs &amp; awareness training</w:t>
            </w:r>
            <w:r>
              <w:t>’</w:t>
            </w:r>
            <w:r w:rsidR="00335F4B">
              <w:t xml:space="preserve">; </w:t>
            </w:r>
            <w:r w:rsidR="000B7900">
              <w:t xml:space="preserve">on </w:t>
            </w:r>
            <w:r w:rsidR="00335F4B">
              <w:t xml:space="preserve">the establishment of a forensic IT department </w:t>
            </w:r>
            <w:r w:rsidR="006E6E14">
              <w:t xml:space="preserve">which will operationalize high-end scientific tools and methods and provide advisory services within the BE judicial institutions; </w:t>
            </w:r>
            <w:r w:rsidR="000B7900">
              <w:t xml:space="preserve">on </w:t>
            </w:r>
            <w:r w:rsidR="006E6E14">
              <w:t>the improvement of the chemical analytical capabilities for forensic scientist</w:t>
            </w:r>
            <w:r w:rsidR="005F41FE">
              <w:t>s</w:t>
            </w:r>
            <w:r w:rsidR="006E6E14">
              <w:t xml:space="preserve"> in order to be able to detect, investigate and dismantle clandestine synthetic drug laboratories; and </w:t>
            </w:r>
            <w:r w:rsidR="000B7900">
              <w:t xml:space="preserve">on </w:t>
            </w:r>
            <w:r w:rsidR="006E6E14">
              <w:t xml:space="preserve">the protection of critical infrastructure against security-related incidents. </w:t>
            </w:r>
            <w:r w:rsidR="005F41FE">
              <w:t>Up until now, a</w:t>
            </w:r>
            <w:r w:rsidR="006E6E14">
              <w:t xml:space="preserve"> total of 4 projects have started</w:t>
            </w:r>
            <w:r w:rsidR="0032287F">
              <w:t xml:space="preserve">, </w:t>
            </w:r>
            <w:r w:rsidR="005F41FE">
              <w:t>with</w:t>
            </w:r>
            <w:r w:rsidR="0032287F">
              <w:t xml:space="preserve"> a total </w:t>
            </w:r>
            <w:r w:rsidR="005F41FE">
              <w:t xml:space="preserve">project </w:t>
            </w:r>
            <w:r w:rsidR="0032287F">
              <w:t>budget of € 1.738.056,14</w:t>
            </w:r>
            <w:r w:rsidR="005F41FE">
              <w:t>,</w:t>
            </w:r>
            <w:r w:rsidR="0032287F">
              <w:t xml:space="preserve"> of which 1.303</w:t>
            </w:r>
            <w:r w:rsidR="005F41FE">
              <w:t>.</w:t>
            </w:r>
            <w:r w:rsidR="0032287F">
              <w:t xml:space="preserve">086,03 </w:t>
            </w:r>
            <w:r w:rsidR="005F41FE">
              <w:t xml:space="preserve">in terms of </w:t>
            </w:r>
            <w:r w:rsidR="0032287F">
              <w:t>EU subsidy</w:t>
            </w:r>
            <w:r w:rsidR="000B7900">
              <w:t>.</w:t>
            </w:r>
          </w:p>
          <w:p w14:paraId="54748945" w14:textId="77777777" w:rsidR="0032287F" w:rsidRDefault="0032287F" w:rsidP="00726BFA">
            <w:pPr>
              <w:pStyle w:val="Institutionquisigne"/>
              <w:spacing w:before="0"/>
            </w:pPr>
          </w:p>
          <w:p w14:paraId="4D209C9F" w14:textId="4AE2104F" w:rsidR="002C36F8" w:rsidRDefault="00762396" w:rsidP="002C36F8">
            <w:pPr>
              <w:pStyle w:val="Personnequisigne"/>
              <w:jc w:val="both"/>
            </w:pPr>
            <w:r>
              <w:t xml:space="preserve">In terms of implementation, most projects </w:t>
            </w:r>
            <w:r w:rsidR="00B62BE3">
              <w:t xml:space="preserve">have started </w:t>
            </w:r>
            <w:r w:rsidR="00562CA6">
              <w:t xml:space="preserve">on 01/07/2023, </w:t>
            </w:r>
            <w:r w:rsidR="00AE3A9D">
              <w:t>while a few already commenced on</w:t>
            </w:r>
            <w:r w:rsidR="00562CA6">
              <w:t xml:space="preserve"> 01/01/2023</w:t>
            </w:r>
            <w:r>
              <w:t xml:space="preserve">. </w:t>
            </w:r>
            <w:r w:rsidR="00562CA6">
              <w:t xml:space="preserve">Unfortunately, </w:t>
            </w:r>
            <w:r>
              <w:t xml:space="preserve">delays have been </w:t>
            </w:r>
            <w:r w:rsidR="00AE3A9D">
              <w:t>detected</w:t>
            </w:r>
            <w:r>
              <w:t xml:space="preserve"> in </w:t>
            </w:r>
            <w:r w:rsidR="00562CA6">
              <w:t xml:space="preserve">a couple of </w:t>
            </w:r>
            <w:r>
              <w:t xml:space="preserve">projects, </w:t>
            </w:r>
            <w:r w:rsidR="00AE3A9D">
              <w:t xml:space="preserve">mainly </w:t>
            </w:r>
            <w:r>
              <w:t>due t</w:t>
            </w:r>
            <w:r w:rsidR="003A50A2">
              <w:t>o public procurement procedures taking up more time th</w:t>
            </w:r>
            <w:r w:rsidR="00822FE7">
              <w:t>a</w:t>
            </w:r>
            <w:r w:rsidR="003A50A2">
              <w:t>n expected and causing delays in deliverables</w:t>
            </w:r>
            <w:r w:rsidR="00FC043E">
              <w:t xml:space="preserve"> or </w:t>
            </w:r>
            <w:r w:rsidR="003B1B4A">
              <w:t xml:space="preserve">due to </w:t>
            </w:r>
            <w:r w:rsidR="00FC043E">
              <w:t>changes in the proje</w:t>
            </w:r>
            <w:r w:rsidR="00AE4B70">
              <w:t>c</w:t>
            </w:r>
            <w:r w:rsidR="00FC043E">
              <w:t>t priorities</w:t>
            </w:r>
            <w:r w:rsidR="003B1B4A">
              <w:t xml:space="preserve">. </w:t>
            </w:r>
          </w:p>
          <w:p w14:paraId="1BC5A6A5" w14:textId="77777777" w:rsidR="002C36F8" w:rsidRDefault="002C36F8" w:rsidP="002C36F8">
            <w:pPr>
              <w:pStyle w:val="Personnequisigne"/>
              <w:jc w:val="both"/>
            </w:pPr>
          </w:p>
          <w:p w14:paraId="2707CD99" w14:textId="5BC56117" w:rsidR="0034446C" w:rsidRPr="0034446C" w:rsidRDefault="00B62BE3" w:rsidP="00335CD7">
            <w:pPr>
              <w:pStyle w:val="Personnequisigne"/>
              <w:jc w:val="both"/>
            </w:pPr>
            <w:r>
              <w:t xml:space="preserve">Other reasons for </w:t>
            </w:r>
            <w:r w:rsidR="000B7900">
              <w:t xml:space="preserve">delays </w:t>
            </w:r>
            <w:r>
              <w:t xml:space="preserve">in the implementation </w:t>
            </w:r>
            <w:r w:rsidR="000B7900">
              <w:t xml:space="preserve">are </w:t>
            </w:r>
            <w:r>
              <w:t>issues related to human resource</w:t>
            </w:r>
            <w:r w:rsidR="006C6445">
              <w:t>s</w:t>
            </w:r>
            <w:r w:rsidR="00AE4B70">
              <w:t>. The recruit</w:t>
            </w:r>
            <w:r>
              <w:t>ment of staff (IT profiles) is more problematic than expected or internal personnel assigned to the project is not as</w:t>
            </w:r>
            <w:r w:rsidR="0080453C">
              <w:t xml:space="preserve"> </w:t>
            </w:r>
            <w:r>
              <w:t xml:space="preserve">available as required </w:t>
            </w:r>
            <w:r w:rsidR="00873821">
              <w:t xml:space="preserve">because of </w:t>
            </w:r>
            <w:r>
              <w:t>other priorities in their workload</w:t>
            </w:r>
            <w:r w:rsidR="0080453C">
              <w:t>.</w:t>
            </w:r>
            <w:r w:rsidR="00240E55">
              <w:t xml:space="preserve"> </w:t>
            </w:r>
            <w:r w:rsidR="00090CC0">
              <w:t xml:space="preserve">This </w:t>
            </w:r>
            <w:r w:rsidR="00873821">
              <w:t xml:space="preserve">is </w:t>
            </w:r>
            <w:r w:rsidR="009808C1">
              <w:t>an</w:t>
            </w:r>
            <w:r w:rsidR="00090CC0">
              <w:t xml:space="preserve"> issue for </w:t>
            </w:r>
            <w:r w:rsidR="00335CD7">
              <w:t xml:space="preserve">several </w:t>
            </w:r>
            <w:r w:rsidR="00090CC0">
              <w:t>projects under SO1 focusing</w:t>
            </w:r>
            <w:r w:rsidR="006C6445">
              <w:t xml:space="preserve"> on</w:t>
            </w:r>
            <w:r w:rsidR="00090CC0">
              <w:t xml:space="preserve"> information</w:t>
            </w:r>
            <w:r w:rsidR="006C6445">
              <w:t xml:space="preserve"> exchange systems and networks, </w:t>
            </w:r>
            <w:r w:rsidR="00090CC0">
              <w:t xml:space="preserve">the PNR Directive and the implementation of </w:t>
            </w:r>
            <w:r w:rsidR="006C6445">
              <w:t>security</w:t>
            </w:r>
            <w:r w:rsidR="00335CD7">
              <w:t>-</w:t>
            </w:r>
            <w:r w:rsidR="006C6445">
              <w:t xml:space="preserve">related IT systems and tools. </w:t>
            </w:r>
            <w:r>
              <w:t>In the start-up phase</w:t>
            </w:r>
            <w:r w:rsidR="00335CD7">
              <w:t>,</w:t>
            </w:r>
            <w:r>
              <w:t xml:space="preserve"> some projects encountered difficulties </w:t>
            </w:r>
            <w:r w:rsidR="00240E55">
              <w:t xml:space="preserve">bringing all </w:t>
            </w:r>
            <w:r w:rsidR="00335CD7">
              <w:t xml:space="preserve">involved </w:t>
            </w:r>
            <w:r w:rsidR="00240E55">
              <w:t xml:space="preserve">parties and </w:t>
            </w:r>
            <w:r w:rsidR="00335CD7">
              <w:t>stakeholders</w:t>
            </w:r>
            <w:r w:rsidR="00240E55">
              <w:t xml:space="preserve"> together in order to start the project </w:t>
            </w:r>
            <w:r w:rsidR="000B7900">
              <w:t xml:space="preserve">at </w:t>
            </w:r>
            <w:r w:rsidR="00240E55">
              <w:t>operational level</w:t>
            </w:r>
            <w:r w:rsidR="000B7900">
              <w:t xml:space="preserve">. </w:t>
            </w:r>
            <w:r>
              <w:t xml:space="preserve">This issue should </w:t>
            </w:r>
            <w:r w:rsidR="000B7900">
              <w:t xml:space="preserve">be resolved </w:t>
            </w:r>
            <w:r>
              <w:t xml:space="preserve">by the end of 2023. </w:t>
            </w:r>
          </w:p>
        </w:tc>
      </w:tr>
    </w:tbl>
    <w:p w14:paraId="1CFD7080" w14:textId="45914142" w:rsidR="006A41E2" w:rsidRDefault="004C5B3C" w:rsidP="004C5B3C">
      <w:pPr>
        <w:pStyle w:val="ManualHeading2"/>
        <w:rPr>
          <w:noProof/>
        </w:rPr>
      </w:pPr>
      <w:r w:rsidRPr="004C5B3C">
        <w:lastRenderedPageBreak/>
        <w:t>1.2.</w:t>
      </w:r>
      <w:r w:rsidRPr="004C5B3C">
        <w:tab/>
      </w:r>
      <w:r w:rsidR="006A41E2" w:rsidRPr="0026083B">
        <w:rPr>
          <w:noProof/>
        </w:rPr>
        <w:t xml:space="preserve">Issues affecting performance – </w:t>
      </w:r>
      <w:r w:rsidR="00AA72E3" w:rsidRPr="0026083B">
        <w:rPr>
          <w:noProof/>
        </w:rPr>
        <w:t>A</w:t>
      </w:r>
      <w:r w:rsidR="006A41E2" w:rsidRPr="0026083B">
        <w:rPr>
          <w:noProof/>
        </w:rPr>
        <w:t>rticle 30(2)</w:t>
      </w:r>
      <w:r w:rsidR="002F1935" w:rsidRPr="0026083B">
        <w:rPr>
          <w:noProof/>
        </w:rPr>
        <w:t>,</w:t>
      </w:r>
      <w:r w:rsidR="006A41E2" w:rsidRPr="0026083B">
        <w:rPr>
          <w:noProof/>
        </w:rPr>
        <w:t xml:space="preserve"> point (b)</w:t>
      </w:r>
      <w:r w:rsidR="002F1935" w:rsidRPr="0026083B">
        <w:rPr>
          <w:noProof/>
        </w:rPr>
        <w:t>,</w:t>
      </w:r>
      <w:r w:rsidR="006A41E2" w:rsidRPr="0026083B">
        <w:rPr>
          <w:noProof/>
        </w:rPr>
        <w:t xml:space="preserve"> of Regulation (EU) 2021/1149</w:t>
      </w:r>
    </w:p>
    <w:p w14:paraId="41D1A60F" w14:textId="77777777" w:rsidR="006A41E2" w:rsidRPr="006A41E2" w:rsidRDefault="006A41E2" w:rsidP="006A41E2">
      <w:pPr>
        <w:rPr>
          <w:noProof/>
          <w:sz w:val="22"/>
        </w:rPr>
      </w:pPr>
      <w:r w:rsidRPr="006A41E2">
        <w:rPr>
          <w:noProof/>
          <w:sz w:val="22"/>
        </w:rPr>
        <w:t xml:space="preserve">For each specific objective, describe any issues affecting the performance of the programme during the accounting year </w:t>
      </w:r>
      <w:r w:rsidR="002C4A46">
        <w:rPr>
          <w:noProof/>
          <w:sz w:val="22"/>
        </w:rPr>
        <w:t>and</w:t>
      </w:r>
      <w:r w:rsidRPr="006A41E2">
        <w:rPr>
          <w:noProof/>
          <w:sz w:val="22"/>
        </w:rPr>
        <w:t xml:space="preserve"> any action taken to address them. </w:t>
      </w:r>
    </w:p>
    <w:p w14:paraId="22DC52D6" w14:textId="77777777" w:rsidR="006A41E2" w:rsidRPr="00426002" w:rsidRDefault="006A41E2" w:rsidP="006A41E2">
      <w:pPr>
        <w:rPr>
          <w:noProof/>
          <w:sz w:val="22"/>
        </w:rPr>
      </w:pPr>
      <w:r w:rsidRPr="006A41E2">
        <w:rPr>
          <w:noProof/>
          <w:sz w:val="22"/>
        </w:rPr>
        <w:t xml:space="preserve">Whenever possible and relevant, you are encouraged to distinguish </w:t>
      </w:r>
      <w:r w:rsidR="002C4A46">
        <w:rPr>
          <w:noProof/>
          <w:sz w:val="22"/>
        </w:rPr>
        <w:t>between</w:t>
      </w:r>
      <w:r w:rsidR="002C4A46" w:rsidRPr="006A41E2">
        <w:rPr>
          <w:noProof/>
          <w:sz w:val="22"/>
        </w:rPr>
        <w:t xml:space="preserve"> </w:t>
      </w:r>
      <w:r w:rsidRPr="006A41E2">
        <w:rPr>
          <w:noProof/>
          <w:sz w:val="22"/>
        </w:rPr>
        <w:t>issues related to:</w:t>
      </w:r>
    </w:p>
    <w:p w14:paraId="796296DC" w14:textId="77777777" w:rsidR="006A41E2" w:rsidRPr="006A41E2" w:rsidRDefault="006A41E2" w:rsidP="00912E10">
      <w:pPr>
        <w:pStyle w:val="Tiret0"/>
        <w:numPr>
          <w:ilvl w:val="0"/>
          <w:numId w:val="11"/>
        </w:numPr>
        <w:rPr>
          <w:noProof/>
          <w:sz w:val="22"/>
        </w:rPr>
      </w:pPr>
      <w:r w:rsidRPr="006A41E2">
        <w:rPr>
          <w:noProof/>
          <w:sz w:val="22"/>
        </w:rPr>
        <w:t>underreporting of achievements;</w:t>
      </w:r>
      <w:r>
        <w:rPr>
          <w:rStyle w:val="FootnoteReference"/>
          <w:noProof/>
          <w:sz w:val="22"/>
        </w:rPr>
        <w:footnoteReference w:id="2"/>
      </w:r>
      <w:r w:rsidRPr="006A41E2">
        <w:rPr>
          <w:noProof/>
          <w:sz w:val="22"/>
        </w:rPr>
        <w:t xml:space="preserve"> </w:t>
      </w:r>
    </w:p>
    <w:p w14:paraId="56425BD3" w14:textId="77777777" w:rsidR="006A41E2" w:rsidRPr="006A41E2" w:rsidRDefault="006A41E2" w:rsidP="00912E10">
      <w:pPr>
        <w:pStyle w:val="Tiret0"/>
        <w:numPr>
          <w:ilvl w:val="0"/>
          <w:numId w:val="11"/>
        </w:numPr>
        <w:rPr>
          <w:noProof/>
          <w:sz w:val="22"/>
        </w:rPr>
      </w:pPr>
      <w:r w:rsidRPr="006A41E2">
        <w:rPr>
          <w:noProof/>
          <w:sz w:val="22"/>
        </w:rPr>
        <w:t>target setting;</w:t>
      </w:r>
      <w:r>
        <w:rPr>
          <w:rStyle w:val="FootnoteReference"/>
          <w:noProof/>
          <w:sz w:val="22"/>
        </w:rPr>
        <w:footnoteReference w:id="3"/>
      </w:r>
      <w:r w:rsidRPr="006A41E2">
        <w:rPr>
          <w:noProof/>
          <w:sz w:val="22"/>
        </w:rPr>
        <w:t xml:space="preserve"> </w:t>
      </w:r>
    </w:p>
    <w:p w14:paraId="4AC988B1" w14:textId="77777777" w:rsidR="006A41E2" w:rsidRPr="006A41E2" w:rsidRDefault="006A41E2" w:rsidP="00912E10">
      <w:pPr>
        <w:pStyle w:val="Tiret0"/>
        <w:numPr>
          <w:ilvl w:val="0"/>
          <w:numId w:val="11"/>
        </w:numPr>
        <w:rPr>
          <w:noProof/>
          <w:sz w:val="22"/>
        </w:rPr>
      </w:pPr>
      <w:r w:rsidRPr="006A41E2">
        <w:rPr>
          <w:noProof/>
          <w:sz w:val="22"/>
        </w:rPr>
        <w:t>procedural delays and administrative capacity;</w:t>
      </w:r>
      <w:r>
        <w:rPr>
          <w:rStyle w:val="FootnoteReference"/>
          <w:noProof/>
          <w:sz w:val="22"/>
        </w:rPr>
        <w:footnoteReference w:id="4"/>
      </w:r>
      <w:r w:rsidRPr="006A41E2">
        <w:rPr>
          <w:noProof/>
          <w:sz w:val="22"/>
        </w:rPr>
        <w:t xml:space="preserve"> </w:t>
      </w:r>
    </w:p>
    <w:p w14:paraId="308DBC61" w14:textId="77777777" w:rsidR="006A41E2" w:rsidRPr="006A41E2" w:rsidRDefault="006A41E2" w:rsidP="00912E10">
      <w:pPr>
        <w:pStyle w:val="Tiret0"/>
        <w:numPr>
          <w:ilvl w:val="0"/>
          <w:numId w:val="11"/>
        </w:numPr>
        <w:rPr>
          <w:noProof/>
          <w:sz w:val="22"/>
        </w:rPr>
      </w:pPr>
      <w:r w:rsidRPr="006A41E2">
        <w:rPr>
          <w:noProof/>
          <w:sz w:val="22"/>
        </w:rPr>
        <w:t>contextual changes;</w:t>
      </w:r>
      <w:r>
        <w:rPr>
          <w:rStyle w:val="FootnoteReference"/>
          <w:noProof/>
          <w:sz w:val="22"/>
        </w:rPr>
        <w:footnoteReference w:id="5"/>
      </w:r>
    </w:p>
    <w:p w14:paraId="4880930E" w14:textId="77777777" w:rsidR="006A41E2" w:rsidRPr="006A41E2" w:rsidRDefault="006A41E2" w:rsidP="00912E10">
      <w:pPr>
        <w:pStyle w:val="Tiret0"/>
        <w:numPr>
          <w:ilvl w:val="0"/>
          <w:numId w:val="11"/>
        </w:numPr>
        <w:rPr>
          <w:noProof/>
          <w:sz w:val="22"/>
        </w:rPr>
      </w:pPr>
      <w:r w:rsidRPr="006A41E2">
        <w:rPr>
          <w:noProof/>
          <w:sz w:val="22"/>
        </w:rPr>
        <w:t>the design and/ or implementation of the operations;</w:t>
      </w:r>
      <w:r>
        <w:rPr>
          <w:rStyle w:val="FootnoteReference"/>
          <w:noProof/>
          <w:sz w:val="22"/>
        </w:rPr>
        <w:footnoteReference w:id="6"/>
      </w:r>
      <w:r w:rsidRPr="006A41E2">
        <w:rPr>
          <w:noProof/>
          <w:sz w:val="22"/>
        </w:rPr>
        <w:t xml:space="preserve"> and</w:t>
      </w:r>
    </w:p>
    <w:p w14:paraId="0796544F" w14:textId="77777777" w:rsidR="006A41E2" w:rsidRPr="006A41E2" w:rsidRDefault="006A41E2" w:rsidP="00912E10">
      <w:pPr>
        <w:pStyle w:val="Tiret0"/>
        <w:numPr>
          <w:ilvl w:val="0"/>
          <w:numId w:val="11"/>
        </w:numPr>
        <w:rPr>
          <w:noProof/>
          <w:sz w:val="22"/>
        </w:rPr>
      </w:pPr>
      <w:r w:rsidRPr="006A41E2">
        <w:rPr>
          <w:noProof/>
          <w:sz w:val="22"/>
        </w:rPr>
        <w:t xml:space="preserve">any other matter. </w:t>
      </w:r>
    </w:p>
    <w:p w14:paraId="2D2D1478" w14:textId="77777777" w:rsidR="000E45B7" w:rsidRPr="00D61B53" w:rsidRDefault="000E45B7" w:rsidP="006D7F5F">
      <w:pPr>
        <w:rPr>
          <w:i/>
          <w:noProof/>
          <w:sz w:val="22"/>
        </w:rPr>
      </w:pPr>
      <w:r w:rsidRPr="00D61B53">
        <w:rPr>
          <w:noProof/>
          <w:sz w:val="22"/>
        </w:rPr>
        <w:t xml:space="preserve">Describe any changes to strategy or national objectives, or any factors that may lead to changes in the future, as well as the modifications that those changes have produced in the </w:t>
      </w:r>
      <w:r w:rsidR="00D61B53">
        <w:rPr>
          <w:noProof/>
          <w:sz w:val="22"/>
        </w:rPr>
        <w:t>targets estimated</w:t>
      </w:r>
      <w:r w:rsidRPr="00D61B53">
        <w:rPr>
          <w:noProof/>
          <w:sz w:val="22"/>
        </w:rPr>
        <w:t xml:space="preserve"> as per the methodology to establish the performance framework.</w:t>
      </w:r>
    </w:p>
    <w:p w14:paraId="35771B28" w14:textId="77777777" w:rsidR="006A41E2" w:rsidRPr="006A41E2" w:rsidRDefault="0060652B" w:rsidP="006A41E2">
      <w:pPr>
        <w:rPr>
          <w:noProof/>
          <w:sz w:val="22"/>
        </w:rPr>
      </w:pPr>
      <w:r>
        <w:rPr>
          <w:noProof/>
          <w:sz w:val="22"/>
        </w:rPr>
        <w:t>I</w:t>
      </w:r>
      <w:r w:rsidR="006A41E2" w:rsidRPr="00450B1B">
        <w:rPr>
          <w:noProof/>
          <w:sz w:val="22"/>
        </w:rPr>
        <w:t xml:space="preserve">nclude information on any reasoned opinions delivered by the Commission in respect of infringement proceedings under Article 258 </w:t>
      </w:r>
      <w:r w:rsidR="00A97818">
        <w:rPr>
          <w:noProof/>
          <w:sz w:val="22"/>
        </w:rPr>
        <w:t xml:space="preserve">of the </w:t>
      </w:r>
      <w:r w:rsidR="00A97818" w:rsidRPr="00A97818">
        <w:rPr>
          <w:noProof/>
          <w:sz w:val="22"/>
        </w:rPr>
        <w:t xml:space="preserve">Treaty on the Functioning of the European Union </w:t>
      </w:r>
      <w:r w:rsidR="00A97818">
        <w:rPr>
          <w:noProof/>
          <w:sz w:val="22"/>
        </w:rPr>
        <w:t>(</w:t>
      </w:r>
      <w:r w:rsidR="006A41E2" w:rsidRPr="00450B1B">
        <w:rPr>
          <w:noProof/>
          <w:sz w:val="22"/>
        </w:rPr>
        <w:t>TFEU</w:t>
      </w:r>
      <w:r w:rsidR="00A97818">
        <w:rPr>
          <w:noProof/>
          <w:sz w:val="22"/>
        </w:rPr>
        <w:t>), and which are</w:t>
      </w:r>
      <w:r w:rsidR="006A41E2" w:rsidRPr="00450B1B">
        <w:rPr>
          <w:noProof/>
          <w:sz w:val="22"/>
        </w:rPr>
        <w:t xml:space="preserve"> linked to the implementation of the </w:t>
      </w:r>
      <w:r w:rsidR="00892376">
        <w:rPr>
          <w:noProof/>
          <w:sz w:val="22"/>
        </w:rPr>
        <w:t>f</w:t>
      </w:r>
      <w:r w:rsidR="006A41E2" w:rsidRPr="00450B1B">
        <w:rPr>
          <w:noProof/>
          <w:sz w:val="22"/>
        </w:rPr>
        <w:t>und.</w:t>
      </w:r>
    </w:p>
    <w:tbl>
      <w:tblPr>
        <w:tblStyle w:val="TableGrid"/>
        <w:tblW w:w="0" w:type="auto"/>
        <w:tblLook w:val="04A0" w:firstRow="1" w:lastRow="0" w:firstColumn="1" w:lastColumn="0" w:noHBand="0" w:noVBand="1"/>
      </w:tblPr>
      <w:tblGrid>
        <w:gridCol w:w="9289"/>
      </w:tblGrid>
      <w:tr w:rsidR="006A41E2" w14:paraId="4B42FB83" w14:textId="77777777" w:rsidTr="00E45665">
        <w:tc>
          <w:tcPr>
            <w:tcW w:w="9289" w:type="dxa"/>
          </w:tcPr>
          <w:p w14:paraId="778F7365" w14:textId="3D91B92B" w:rsidR="00D34348" w:rsidRPr="00D34348" w:rsidRDefault="00D34348" w:rsidP="00D34348">
            <w:pPr>
              <w:pStyle w:val="Personnequisigne"/>
              <w:jc w:val="both"/>
              <w:rPr>
                <w:b/>
              </w:rPr>
            </w:pPr>
            <w:r w:rsidRPr="00D34348">
              <w:rPr>
                <w:b/>
              </w:rPr>
              <w:t>The main obstacle affecting the performance of projects under all SO’s was the late approval of projects. Projects only received grant agreements in December 2022 / January 2023. This caused significant delays with regard to the start of the projects (hiring staff / starting public procurement procedures).</w:t>
            </w:r>
          </w:p>
          <w:p w14:paraId="5C8470D6" w14:textId="77777777" w:rsidR="00D34348" w:rsidRPr="00D34348" w:rsidRDefault="00D34348" w:rsidP="00D34348">
            <w:pPr>
              <w:pStyle w:val="Personnequisigne"/>
              <w:rPr>
                <w:lang w:val="en-US"/>
              </w:rPr>
            </w:pPr>
          </w:p>
          <w:p w14:paraId="07648446" w14:textId="68B4B4F8" w:rsidR="00CF700F" w:rsidRPr="009D1179" w:rsidRDefault="006F7388" w:rsidP="00BB1A90">
            <w:pPr>
              <w:pStyle w:val="Institutionquisigne"/>
              <w:spacing w:before="0"/>
              <w:rPr>
                <w:b/>
                <w:lang w:val="en-US"/>
              </w:rPr>
            </w:pPr>
            <w:r w:rsidRPr="009D1179">
              <w:rPr>
                <w:b/>
                <w:lang w:val="en-US"/>
              </w:rPr>
              <w:t xml:space="preserve">SO1: </w:t>
            </w:r>
          </w:p>
          <w:p w14:paraId="440BF572" w14:textId="518068B5" w:rsidR="00CF700F" w:rsidRPr="00814472" w:rsidRDefault="00CF700F" w:rsidP="00BB1A90">
            <w:pPr>
              <w:pStyle w:val="Institutionquisigne"/>
              <w:spacing w:before="0"/>
              <w:rPr>
                <w:b/>
                <w:lang w:val="en-US"/>
              </w:rPr>
            </w:pPr>
            <w:r w:rsidRPr="00814472">
              <w:rPr>
                <w:b/>
                <w:lang w:val="en-US"/>
              </w:rPr>
              <w:t>P</w:t>
            </w:r>
            <w:r w:rsidR="006F7388" w:rsidRPr="00814472">
              <w:rPr>
                <w:b/>
                <w:lang w:val="en-US"/>
              </w:rPr>
              <w:t xml:space="preserve">rocedural </w:t>
            </w:r>
            <w:r w:rsidRPr="00814472">
              <w:rPr>
                <w:b/>
                <w:lang w:val="en-US"/>
              </w:rPr>
              <w:t>delays</w:t>
            </w:r>
            <w:r w:rsidR="00BB1A90" w:rsidRPr="00814472">
              <w:rPr>
                <w:b/>
                <w:lang w:val="en-US"/>
              </w:rPr>
              <w:t xml:space="preserve">: </w:t>
            </w:r>
          </w:p>
          <w:p w14:paraId="21302CE4" w14:textId="7ACBC601" w:rsidR="00D23CC7" w:rsidRDefault="00814472" w:rsidP="00BB1A90">
            <w:pPr>
              <w:pStyle w:val="Institutionquisigne"/>
              <w:spacing w:before="0"/>
            </w:pPr>
            <w:r>
              <w:t>As mentioned</w:t>
            </w:r>
            <w:r w:rsidR="00D23CC7">
              <w:t xml:space="preserve"> under </w:t>
            </w:r>
            <w:r>
              <w:t xml:space="preserve">point </w:t>
            </w:r>
            <w:r w:rsidR="00D23CC7">
              <w:t xml:space="preserve">1.1 </w:t>
            </w:r>
            <w:r w:rsidR="00873821">
              <w:t>some</w:t>
            </w:r>
            <w:r w:rsidR="00D23CC7">
              <w:t xml:space="preserve"> projects are delayed because of public procurement procedures. </w:t>
            </w:r>
            <w:r w:rsidR="00E03999">
              <w:t>For example</w:t>
            </w:r>
            <w:r w:rsidR="009808C1">
              <w:t>,</w:t>
            </w:r>
            <w:r w:rsidR="00D23CC7">
              <w:t xml:space="preserve"> in the ABIS project</w:t>
            </w:r>
            <w:r w:rsidR="00E03999">
              <w:t xml:space="preserve"> (ISF-075-110)</w:t>
            </w:r>
            <w:r w:rsidR="00D23CC7">
              <w:t xml:space="preserve">, the procedure is </w:t>
            </w:r>
            <w:r w:rsidR="00E03999">
              <w:t>very</w:t>
            </w:r>
            <w:r w:rsidR="00B326A2">
              <w:t xml:space="preserve"> demanding and</w:t>
            </w:r>
            <w:r w:rsidR="00BB1A90">
              <w:t xml:space="preserve"> </w:t>
            </w:r>
            <w:r w:rsidR="0088361D">
              <w:t>the information and</w:t>
            </w:r>
            <w:r w:rsidR="00BB1A90">
              <w:t xml:space="preserve"> documentation in the submissions is quite comprehensive</w:t>
            </w:r>
            <w:r w:rsidR="00B326A2">
              <w:t>,</w:t>
            </w:r>
            <w:r w:rsidR="00D23CC7">
              <w:t xml:space="preserve"> resulting </w:t>
            </w:r>
            <w:r w:rsidR="00873821">
              <w:t xml:space="preserve">in </w:t>
            </w:r>
            <w:r w:rsidR="009808C1">
              <w:t>an</w:t>
            </w:r>
            <w:r w:rsidR="00D23CC7">
              <w:t xml:space="preserve"> extensive and </w:t>
            </w:r>
            <w:r w:rsidR="009808C1">
              <w:t>time-consuming</w:t>
            </w:r>
            <w:r w:rsidR="00D23CC7">
              <w:t xml:space="preserve"> evaluation process. In the ISF-077-101 project, the expected </w:t>
            </w:r>
            <w:r w:rsidR="00FC043E">
              <w:t xml:space="preserve">deliverable </w:t>
            </w:r>
            <w:r w:rsidR="00090CC0">
              <w:t>(</w:t>
            </w:r>
            <w:r w:rsidR="00200041">
              <w:t>‘</w:t>
            </w:r>
            <w:r w:rsidR="00090CC0">
              <w:t>Macro analysis AS IS</w:t>
            </w:r>
            <w:r w:rsidR="00200041">
              <w:t>’</w:t>
            </w:r>
            <w:r w:rsidR="00090CC0">
              <w:t xml:space="preserve">) </w:t>
            </w:r>
            <w:r w:rsidR="00873821">
              <w:t xml:space="preserve">has </w:t>
            </w:r>
            <w:r w:rsidR="00FC043E">
              <w:t xml:space="preserve">not </w:t>
            </w:r>
            <w:r w:rsidR="00D23CC7">
              <w:t xml:space="preserve">been </w:t>
            </w:r>
            <w:r w:rsidR="00FC043E">
              <w:t>realised</w:t>
            </w:r>
            <w:r w:rsidR="003B1B4A">
              <w:t xml:space="preserve"> </w:t>
            </w:r>
            <w:r w:rsidR="00D23CC7">
              <w:t xml:space="preserve">yet </w:t>
            </w:r>
            <w:r w:rsidR="003B1B4A">
              <w:t xml:space="preserve">and </w:t>
            </w:r>
            <w:r w:rsidR="00200041">
              <w:t>has been</w:t>
            </w:r>
            <w:r w:rsidR="00D23CC7">
              <w:t xml:space="preserve"> </w:t>
            </w:r>
            <w:r w:rsidR="003B1B4A">
              <w:t xml:space="preserve">postponed. </w:t>
            </w:r>
          </w:p>
          <w:p w14:paraId="70E33D8C" w14:textId="77777777" w:rsidR="00D23CC7" w:rsidRDefault="00D23CC7" w:rsidP="00BB1A90">
            <w:pPr>
              <w:pStyle w:val="Institutionquisigne"/>
              <w:spacing w:before="0"/>
            </w:pPr>
          </w:p>
          <w:p w14:paraId="3A90DB90" w14:textId="77777777" w:rsidR="00CF700F" w:rsidRPr="00814472" w:rsidRDefault="003B1B4A" w:rsidP="00BB1A90">
            <w:pPr>
              <w:pStyle w:val="Institutionquisigne"/>
              <w:spacing w:before="0"/>
              <w:rPr>
                <w:b/>
              </w:rPr>
            </w:pPr>
            <w:r w:rsidRPr="00814472">
              <w:rPr>
                <w:b/>
              </w:rPr>
              <w:t>Contextual changes</w:t>
            </w:r>
            <w:r w:rsidR="00CF700F" w:rsidRPr="00814472">
              <w:rPr>
                <w:b/>
              </w:rPr>
              <w:t>:</w:t>
            </w:r>
          </w:p>
          <w:p w14:paraId="3BF82CB6" w14:textId="0DBE1D23" w:rsidR="00D23CC7" w:rsidRPr="00D23CC7" w:rsidRDefault="00733E67" w:rsidP="00096232">
            <w:pPr>
              <w:pStyle w:val="Institutionquisigne"/>
              <w:spacing w:before="0"/>
            </w:pPr>
            <w:r w:rsidRPr="002E1F4E">
              <w:t>In</w:t>
            </w:r>
            <w:r>
              <w:t xml:space="preserve"> the PNR project (ISF-081-103)</w:t>
            </w:r>
            <w:r w:rsidR="002E1F4E">
              <w:t>,</w:t>
            </w:r>
            <w:r>
              <w:t xml:space="preserve"> the development of a risk assessment tool for intra-EU connections (originally not included in the scope of the project) was </w:t>
            </w:r>
            <w:r w:rsidR="009D1179">
              <w:t xml:space="preserve">included </w:t>
            </w:r>
            <w:r>
              <w:t xml:space="preserve">because of a BE Constitutional Court ruling on </w:t>
            </w:r>
            <w:r w:rsidR="009D1179">
              <w:t xml:space="preserve">the internal </w:t>
            </w:r>
            <w:r>
              <w:t>BE PNR legislation. The ruling itsel</w:t>
            </w:r>
            <w:r w:rsidR="00D23CC7">
              <w:t>f</w:t>
            </w:r>
            <w:r>
              <w:t xml:space="preserve"> was issued on 12/10/2023, but in anticipation of it, the</w:t>
            </w:r>
            <w:r w:rsidR="009D1179">
              <w:t xml:space="preserve"> beneficiary</w:t>
            </w:r>
            <w:r>
              <w:t xml:space="preserve"> </w:t>
            </w:r>
            <w:r w:rsidR="009D1179">
              <w:t>(</w:t>
            </w:r>
            <w:r>
              <w:t>BelPIU</w:t>
            </w:r>
            <w:r w:rsidR="009D1179">
              <w:t>)</w:t>
            </w:r>
            <w:r>
              <w:t xml:space="preserve"> developed a m</w:t>
            </w:r>
            <w:r w:rsidRPr="00BC55CF">
              <w:t xml:space="preserve">ethodology to objectively select the </w:t>
            </w:r>
            <w:r>
              <w:t xml:space="preserve">most pertinent </w:t>
            </w:r>
            <w:r w:rsidRPr="00BC55CF">
              <w:t>intra-EU flights</w:t>
            </w:r>
            <w:r>
              <w:t xml:space="preserve">. The </w:t>
            </w:r>
            <w:r w:rsidR="002E1F4E">
              <w:t>beneficiary</w:t>
            </w:r>
            <w:r>
              <w:t xml:space="preserve"> shared this methodology with the other </w:t>
            </w:r>
            <w:r w:rsidR="002E1F4E">
              <w:t xml:space="preserve">European </w:t>
            </w:r>
            <w:r>
              <w:t>PIUs</w:t>
            </w:r>
            <w:r w:rsidR="002E1F4E">
              <w:t>, with the aim of ensuring</w:t>
            </w:r>
            <w:r>
              <w:t xml:space="preserve"> a uniform approach. </w:t>
            </w:r>
            <w:r w:rsidR="00D23CC7">
              <w:t>The</w:t>
            </w:r>
            <w:r>
              <w:t xml:space="preserve"> Constitutional Court case </w:t>
            </w:r>
            <w:r w:rsidR="00D23CC7">
              <w:t xml:space="preserve">also </w:t>
            </w:r>
            <w:r>
              <w:t>meant extra workload analysing the legal implic</w:t>
            </w:r>
            <w:r w:rsidR="00822FE7">
              <w:t>a</w:t>
            </w:r>
            <w:r>
              <w:t xml:space="preserve">tions of the ruling and required technical modifications as well, in particular on the Beltrip application. In turn, less staff was available to work on other aspects of the project such as the SIS II </w:t>
            </w:r>
            <w:r w:rsidR="009808C1">
              <w:t>connections.</w:t>
            </w:r>
          </w:p>
          <w:p w14:paraId="26FABCE1" w14:textId="77777777" w:rsidR="00807060" w:rsidRPr="000648DF" w:rsidRDefault="00807060" w:rsidP="00807060">
            <w:pPr>
              <w:pStyle w:val="Personnequisigne"/>
              <w:rPr>
                <w:lang w:val="en-US"/>
              </w:rPr>
            </w:pPr>
          </w:p>
          <w:p w14:paraId="10345987" w14:textId="71866878" w:rsidR="004F5BFE" w:rsidRPr="009D1179" w:rsidRDefault="00807060" w:rsidP="004F5BFE">
            <w:pPr>
              <w:pStyle w:val="Personnequisigne"/>
              <w:rPr>
                <w:b/>
              </w:rPr>
            </w:pPr>
            <w:r w:rsidRPr="009D1179">
              <w:rPr>
                <w:b/>
              </w:rPr>
              <w:t>SO2: no issues</w:t>
            </w:r>
          </w:p>
          <w:p w14:paraId="0FB7F443" w14:textId="77777777" w:rsidR="00CF700F" w:rsidRDefault="00CF700F" w:rsidP="00CF700F">
            <w:pPr>
              <w:pStyle w:val="Institutionquisigne"/>
              <w:spacing w:before="0"/>
            </w:pPr>
          </w:p>
          <w:p w14:paraId="4C62AAFF" w14:textId="6B705FEE" w:rsidR="00807060" w:rsidRPr="009D1179" w:rsidRDefault="00807060" w:rsidP="00CF700F">
            <w:pPr>
              <w:pStyle w:val="Institutionquisigne"/>
              <w:spacing w:before="0"/>
              <w:rPr>
                <w:b/>
              </w:rPr>
            </w:pPr>
            <w:r w:rsidRPr="009D1179">
              <w:rPr>
                <w:b/>
              </w:rPr>
              <w:t xml:space="preserve">SO 3: </w:t>
            </w:r>
          </w:p>
          <w:p w14:paraId="185879BA" w14:textId="1BACFBFB" w:rsidR="00EA323F" w:rsidRPr="00EA323F" w:rsidRDefault="00096232" w:rsidP="0043726A">
            <w:pPr>
              <w:pStyle w:val="Personnequisigne"/>
              <w:jc w:val="both"/>
            </w:pPr>
            <w:r>
              <w:t>I</w:t>
            </w:r>
            <w:r w:rsidR="00380955">
              <w:t>n 2 projects</w:t>
            </w:r>
            <w:r>
              <w:t>, there are delays</w:t>
            </w:r>
            <w:r w:rsidR="00380955">
              <w:t xml:space="preserve"> in the public procurement</w:t>
            </w:r>
            <w:r>
              <w:t xml:space="preserve"> procedures</w:t>
            </w:r>
            <w:r w:rsidR="00873821">
              <w:t xml:space="preserve">. </w:t>
            </w:r>
            <w:r w:rsidR="00F309C5">
              <w:t>In the</w:t>
            </w:r>
            <w:r>
              <w:t xml:space="preserve"> project</w:t>
            </w:r>
            <w:r w:rsidR="00F309C5">
              <w:t xml:space="preserve"> </w:t>
            </w:r>
            <w:r>
              <w:t>‘</w:t>
            </w:r>
            <w:r w:rsidR="00873821">
              <w:t>I</w:t>
            </w:r>
            <w:r w:rsidR="009E4A88">
              <w:t>SF-079-115</w:t>
            </w:r>
            <w:r>
              <w:t>’,</w:t>
            </w:r>
            <w:r w:rsidR="00873821">
              <w:t xml:space="preserve"> the </w:t>
            </w:r>
            <w:r w:rsidR="009E4A88">
              <w:t xml:space="preserve">public procurement </w:t>
            </w:r>
            <w:r w:rsidR="0092511A">
              <w:t xml:space="preserve">procedure with regard to the </w:t>
            </w:r>
            <w:r w:rsidR="009E4A88">
              <w:t>‘e-learning</w:t>
            </w:r>
            <w:r w:rsidR="00EA323F">
              <w:t xml:space="preserve"> on radicalisation</w:t>
            </w:r>
            <w:r w:rsidR="0092511A">
              <w:t>’</w:t>
            </w:r>
            <w:r w:rsidR="00EA323F">
              <w:t xml:space="preserve"> </w:t>
            </w:r>
            <w:r w:rsidR="00F309C5">
              <w:t>has been delayed. The publication of the tend</w:t>
            </w:r>
            <w:r w:rsidR="0043726A">
              <w:t xml:space="preserve">er </w:t>
            </w:r>
            <w:r w:rsidR="0092511A">
              <w:t xml:space="preserve">document </w:t>
            </w:r>
            <w:r w:rsidR="0043726A">
              <w:t xml:space="preserve">took more time than expected. </w:t>
            </w:r>
            <w:r w:rsidR="00852147">
              <w:t>Also the project ‘</w:t>
            </w:r>
            <w:r w:rsidR="00EA323F">
              <w:t>ISF-085-107</w:t>
            </w:r>
            <w:r w:rsidR="00852147">
              <w:t>’</w:t>
            </w:r>
            <w:r w:rsidR="0043726A">
              <w:t xml:space="preserve"> </w:t>
            </w:r>
            <w:r w:rsidR="00873821">
              <w:t xml:space="preserve">has been confronted with </w:t>
            </w:r>
            <w:r w:rsidR="00EA323F">
              <w:t>public procurement delay</w:t>
            </w:r>
            <w:r w:rsidR="00852147">
              <w:t>s</w:t>
            </w:r>
            <w:r w:rsidR="00EA323F">
              <w:t xml:space="preserve"> in </w:t>
            </w:r>
            <w:r w:rsidR="00852147">
              <w:t>terms of</w:t>
            </w:r>
            <w:r w:rsidR="00EA323F">
              <w:t xml:space="preserve"> deliverables:</w:t>
            </w:r>
            <w:r w:rsidR="008D7FF1">
              <w:t xml:space="preserve"> </w:t>
            </w:r>
            <w:r w:rsidR="00EA323F">
              <w:t xml:space="preserve">the </w:t>
            </w:r>
            <w:r w:rsidR="00873821">
              <w:t xml:space="preserve">delivery of the </w:t>
            </w:r>
            <w:r w:rsidR="00822FE7">
              <w:t>vehicle</w:t>
            </w:r>
            <w:r w:rsidR="00EA323F">
              <w:t xml:space="preserve"> </w:t>
            </w:r>
            <w:r w:rsidR="00873821">
              <w:t xml:space="preserve">equipped with a laboratory </w:t>
            </w:r>
            <w:r w:rsidR="00EA323F">
              <w:t xml:space="preserve">to dismantle illegal drug production sites and </w:t>
            </w:r>
            <w:r w:rsidR="008D7FF1">
              <w:t>perform preliminary analyses on site in a safely manner</w:t>
            </w:r>
            <w:r w:rsidR="00EA323F">
              <w:t xml:space="preserve"> </w:t>
            </w:r>
            <w:r w:rsidR="00873821">
              <w:t>has been postponed to 2024. A</w:t>
            </w:r>
            <w:r w:rsidR="008D7FF1">
              <w:t xml:space="preserve">s a </w:t>
            </w:r>
            <w:r w:rsidR="009808C1">
              <w:t>consequence,</w:t>
            </w:r>
            <w:r w:rsidR="008D7FF1">
              <w:t xml:space="preserve"> the project had to be prolonged until 12/2024</w:t>
            </w:r>
            <w:r w:rsidR="00852147">
              <w:t>.</w:t>
            </w:r>
          </w:p>
          <w:p w14:paraId="3559A606" w14:textId="358BBD6B" w:rsidR="006F7388" w:rsidRPr="006F7388" w:rsidRDefault="006F7388" w:rsidP="006F7388">
            <w:pPr>
              <w:pStyle w:val="Personnequisigne"/>
            </w:pPr>
          </w:p>
        </w:tc>
      </w:tr>
    </w:tbl>
    <w:p w14:paraId="63B7A76E" w14:textId="21F4C0B2" w:rsidR="006A41E2" w:rsidRDefault="004C5B3C" w:rsidP="004C5B3C">
      <w:pPr>
        <w:pStyle w:val="ManualHeading2"/>
        <w:rPr>
          <w:noProof/>
        </w:rPr>
      </w:pPr>
      <w:r w:rsidRPr="004C5B3C">
        <w:t>1.3.</w:t>
      </w:r>
      <w:r w:rsidRPr="004C5B3C">
        <w:tab/>
      </w:r>
      <w:r w:rsidR="006A41E2" w:rsidRPr="00D378BC">
        <w:rPr>
          <w:noProof/>
        </w:rPr>
        <w:t>Specific mitigation measures</w:t>
      </w:r>
    </w:p>
    <w:p w14:paraId="179F14CF" w14:textId="38FF5A59" w:rsidR="006A41E2" w:rsidRPr="006A41E2" w:rsidRDefault="006A41E2" w:rsidP="006A41E2">
      <w:pPr>
        <w:rPr>
          <w:noProof/>
          <w:sz w:val="22"/>
        </w:rPr>
      </w:pPr>
      <w:r w:rsidRPr="00C43B9B">
        <w:rPr>
          <w:b/>
          <w:noProof/>
          <w:sz w:val="22"/>
        </w:rPr>
        <w:t>If relevant</w:t>
      </w:r>
      <w:r w:rsidRPr="006A41E2">
        <w:rPr>
          <w:noProof/>
          <w:sz w:val="22"/>
        </w:rPr>
        <w:t xml:space="preserve">, describe </w:t>
      </w:r>
      <w:r w:rsidR="00A97818" w:rsidRPr="006A41E2">
        <w:rPr>
          <w:noProof/>
          <w:sz w:val="22"/>
        </w:rPr>
        <w:t xml:space="preserve">briefly </w:t>
      </w:r>
      <w:r w:rsidRPr="006A41E2">
        <w:rPr>
          <w:noProof/>
          <w:sz w:val="22"/>
        </w:rPr>
        <w:t>how the programme activities contributed to mitigating the effects of any</w:t>
      </w:r>
      <w:r w:rsidR="0016130D">
        <w:rPr>
          <w:noProof/>
          <w:sz w:val="22"/>
        </w:rPr>
        <w:t xml:space="preserve"> relevant</w:t>
      </w:r>
      <w:r w:rsidRPr="006A41E2">
        <w:rPr>
          <w:noProof/>
          <w:sz w:val="22"/>
        </w:rPr>
        <w:t xml:space="preserve"> </w:t>
      </w:r>
      <w:r w:rsidR="00425B0B">
        <w:rPr>
          <w:noProof/>
          <w:sz w:val="22"/>
        </w:rPr>
        <w:t xml:space="preserve">and </w:t>
      </w:r>
      <w:r w:rsidRPr="006A41E2">
        <w:rPr>
          <w:noProof/>
          <w:sz w:val="22"/>
        </w:rPr>
        <w:t xml:space="preserve">sudden contextual changes resulting in unforeseen security threats. Whenever possible, refer to the volume of resources redeployed for </w:t>
      </w:r>
      <w:r w:rsidR="008008F2">
        <w:rPr>
          <w:noProof/>
          <w:sz w:val="22"/>
        </w:rPr>
        <w:t>this</w:t>
      </w:r>
      <w:r w:rsidR="008008F2" w:rsidRPr="006A41E2">
        <w:rPr>
          <w:noProof/>
          <w:sz w:val="22"/>
        </w:rPr>
        <w:t xml:space="preserve"> </w:t>
      </w:r>
      <w:r w:rsidRPr="006A41E2">
        <w:rPr>
          <w:noProof/>
          <w:sz w:val="22"/>
        </w:rPr>
        <w:t>purpose, and the related output</w:t>
      </w:r>
      <w:r w:rsidR="008008F2">
        <w:rPr>
          <w:noProof/>
          <w:sz w:val="22"/>
        </w:rPr>
        <w:t>s</w:t>
      </w:r>
      <w:r w:rsidRPr="006A41E2">
        <w:rPr>
          <w:noProof/>
          <w:sz w:val="22"/>
        </w:rPr>
        <w:t xml:space="preserve"> and results achieved. </w:t>
      </w:r>
    </w:p>
    <w:p w14:paraId="4CEE079D" w14:textId="42839433" w:rsidR="006A41E2" w:rsidRPr="006A41E2" w:rsidRDefault="000E45B7" w:rsidP="006A41E2">
      <w:pPr>
        <w:rPr>
          <w:noProof/>
          <w:sz w:val="22"/>
        </w:rPr>
      </w:pPr>
      <w:r>
        <w:rPr>
          <w:noProof/>
          <w:sz w:val="22"/>
        </w:rPr>
        <w:t>P</w:t>
      </w:r>
      <w:r w:rsidR="008008F2">
        <w:rPr>
          <w:noProof/>
          <w:sz w:val="22"/>
        </w:rPr>
        <w:t>ay</w:t>
      </w:r>
      <w:r w:rsidR="006A41E2" w:rsidRPr="006A41E2">
        <w:rPr>
          <w:noProof/>
          <w:sz w:val="22"/>
        </w:rPr>
        <w:t xml:space="preserve"> specific attention to activities carried out to mitigate the unforeseen </w:t>
      </w:r>
      <w:r w:rsidR="006A41E2">
        <w:rPr>
          <w:noProof/>
          <w:sz w:val="22"/>
        </w:rPr>
        <w:t xml:space="preserve">security </w:t>
      </w:r>
      <w:r w:rsidR="006A41E2" w:rsidRPr="006A41E2">
        <w:rPr>
          <w:noProof/>
          <w:sz w:val="22"/>
        </w:rPr>
        <w:t xml:space="preserve">threats </w:t>
      </w:r>
      <w:r w:rsidR="008008F2">
        <w:rPr>
          <w:noProof/>
          <w:sz w:val="22"/>
        </w:rPr>
        <w:t xml:space="preserve">and </w:t>
      </w:r>
      <w:r w:rsidR="006A41E2" w:rsidRPr="006A41E2">
        <w:rPr>
          <w:noProof/>
          <w:sz w:val="22"/>
        </w:rPr>
        <w:t>whose achievements may not be fully captured by the common output and result indicators.</w:t>
      </w:r>
    </w:p>
    <w:tbl>
      <w:tblPr>
        <w:tblStyle w:val="TableGrid"/>
        <w:tblW w:w="0" w:type="auto"/>
        <w:tblLook w:val="04A0" w:firstRow="1" w:lastRow="0" w:firstColumn="1" w:lastColumn="0" w:noHBand="0" w:noVBand="1"/>
      </w:tblPr>
      <w:tblGrid>
        <w:gridCol w:w="9289"/>
      </w:tblGrid>
      <w:tr w:rsidR="006A41E2" w14:paraId="3A770DBE" w14:textId="77777777" w:rsidTr="00E45665">
        <w:tc>
          <w:tcPr>
            <w:tcW w:w="9289" w:type="dxa"/>
          </w:tcPr>
          <w:p w14:paraId="4889E43A" w14:textId="77777777" w:rsidR="00303DEC" w:rsidRDefault="00303DEC" w:rsidP="00D378BC">
            <w:pPr>
              <w:pStyle w:val="Institutionquisigne"/>
              <w:spacing w:before="0"/>
            </w:pPr>
            <w:r>
              <w:t>Not applicable</w:t>
            </w:r>
            <w:r w:rsidR="00BF5EDA">
              <w:t>.</w:t>
            </w:r>
          </w:p>
          <w:p w14:paraId="62A6F7A3" w14:textId="021DB3DD" w:rsidR="00BF5EDA" w:rsidRPr="00BF5EDA" w:rsidRDefault="00BF5EDA" w:rsidP="00BF5EDA">
            <w:pPr>
              <w:pStyle w:val="Personnequisigne"/>
            </w:pPr>
          </w:p>
        </w:tc>
      </w:tr>
    </w:tbl>
    <w:p w14:paraId="04571096" w14:textId="6DEFC210" w:rsidR="006A41E2" w:rsidRDefault="004C5B3C" w:rsidP="004C5B3C">
      <w:pPr>
        <w:pStyle w:val="ManualHeading2"/>
        <w:rPr>
          <w:noProof/>
        </w:rPr>
      </w:pPr>
      <w:r w:rsidRPr="004C5B3C">
        <w:t>1.4.</w:t>
      </w:r>
      <w:r w:rsidRPr="004C5B3C">
        <w:tab/>
      </w:r>
      <w:r w:rsidR="006A41E2" w:rsidRPr="00D378BC">
        <w:rPr>
          <w:noProof/>
        </w:rPr>
        <w:t xml:space="preserve">Operating support – </w:t>
      </w:r>
      <w:r w:rsidR="00AA72E3" w:rsidRPr="00D378BC">
        <w:rPr>
          <w:noProof/>
        </w:rPr>
        <w:t>A</w:t>
      </w:r>
      <w:r w:rsidR="006A41E2" w:rsidRPr="00D378BC">
        <w:rPr>
          <w:noProof/>
        </w:rPr>
        <w:t>rticle 16(3) of Regulation (EU) 2021/1149</w:t>
      </w:r>
    </w:p>
    <w:p w14:paraId="1B2406D0" w14:textId="7714FD12" w:rsidR="006A41E2" w:rsidRPr="006A41E2" w:rsidRDefault="00C62604" w:rsidP="006A41E2">
      <w:pPr>
        <w:rPr>
          <w:noProof/>
          <w:sz w:val="22"/>
        </w:rPr>
      </w:pPr>
      <w:r>
        <w:rPr>
          <w:noProof/>
          <w:sz w:val="22"/>
        </w:rPr>
        <w:t>If</w:t>
      </w:r>
      <w:r w:rsidR="006A41E2" w:rsidRPr="006A41E2">
        <w:rPr>
          <w:noProof/>
          <w:sz w:val="22"/>
        </w:rPr>
        <w:t xml:space="preserve"> operating support </w:t>
      </w:r>
      <w:r w:rsidR="002A6B7D">
        <w:rPr>
          <w:noProof/>
          <w:sz w:val="22"/>
        </w:rPr>
        <w:t>was</w:t>
      </w:r>
      <w:r w:rsidR="002A6B7D" w:rsidRPr="006A41E2">
        <w:rPr>
          <w:noProof/>
          <w:sz w:val="22"/>
        </w:rPr>
        <w:t xml:space="preserve"> </w:t>
      </w:r>
      <w:r w:rsidR="006A41E2" w:rsidRPr="006A41E2">
        <w:rPr>
          <w:noProof/>
          <w:sz w:val="22"/>
        </w:rPr>
        <w:t>used during the accounting year, describe how it contribute</w:t>
      </w:r>
      <w:r w:rsidR="00893A65">
        <w:rPr>
          <w:noProof/>
          <w:sz w:val="22"/>
        </w:rPr>
        <w:t>d</w:t>
      </w:r>
      <w:r w:rsidR="006A41E2" w:rsidRPr="006A41E2">
        <w:rPr>
          <w:noProof/>
          <w:sz w:val="22"/>
        </w:rPr>
        <w:t xml:space="preserve"> to </w:t>
      </w:r>
      <w:r w:rsidR="00893A65">
        <w:rPr>
          <w:noProof/>
          <w:sz w:val="22"/>
        </w:rPr>
        <w:t>achieving</w:t>
      </w:r>
      <w:r w:rsidR="006A41E2" w:rsidRPr="006A41E2">
        <w:rPr>
          <w:noProof/>
          <w:sz w:val="22"/>
        </w:rPr>
        <w:t xml:space="preserve"> the objectives of the </w:t>
      </w:r>
      <w:r w:rsidR="00893A65">
        <w:rPr>
          <w:noProof/>
          <w:sz w:val="22"/>
        </w:rPr>
        <w:t>f</w:t>
      </w:r>
      <w:r w:rsidR="006A41E2" w:rsidRPr="006A41E2">
        <w:rPr>
          <w:noProof/>
          <w:sz w:val="22"/>
        </w:rPr>
        <w:t>und.</w:t>
      </w:r>
      <w:r w:rsidR="00BC54D3">
        <w:rPr>
          <w:rStyle w:val="FootnoteReference"/>
          <w:noProof/>
          <w:sz w:val="22"/>
        </w:rPr>
        <w:footnoteReference w:id="7"/>
      </w:r>
      <w:r w:rsidR="006A41E2" w:rsidRPr="006A41E2">
        <w:rPr>
          <w:noProof/>
          <w:sz w:val="22"/>
        </w:rPr>
        <w:t xml:space="preserve">  </w:t>
      </w:r>
    </w:p>
    <w:p w14:paraId="50261581" w14:textId="535FD021" w:rsidR="006A41E2" w:rsidRPr="00BE1132" w:rsidRDefault="003A30A1" w:rsidP="006A41E2">
      <w:pPr>
        <w:rPr>
          <w:noProof/>
          <w:sz w:val="22"/>
        </w:rPr>
      </w:pPr>
      <w:r w:rsidRPr="003A30A1">
        <w:rPr>
          <w:noProof/>
          <w:sz w:val="22"/>
        </w:rPr>
        <w:t>If the total cumulative eligible cost of operating support for the operations selected for support exceeds 20% of the total programme allocation at the end of the accounting year, explain the reasons</w:t>
      </w:r>
      <w:r>
        <w:rPr>
          <w:noProof/>
          <w:sz w:val="22"/>
        </w:rPr>
        <w:t xml:space="preserve">. </w:t>
      </w:r>
      <w:r w:rsidRPr="003A30A1">
        <w:rPr>
          <w:noProof/>
          <w:sz w:val="22"/>
        </w:rPr>
        <w:t>Additionally, if there is a risk that the threshold is exceeded by the end of the programming period, describe the measures envisaged to mitigate it</w:t>
      </w:r>
      <w:r w:rsidR="00C43B9B">
        <w:rPr>
          <w:noProof/>
          <w:sz w:val="22"/>
        </w:rPr>
        <w:t>.</w:t>
      </w:r>
    </w:p>
    <w:tbl>
      <w:tblPr>
        <w:tblStyle w:val="TableGrid"/>
        <w:tblW w:w="0" w:type="auto"/>
        <w:tblLook w:val="04A0" w:firstRow="1" w:lastRow="0" w:firstColumn="1" w:lastColumn="0" w:noHBand="0" w:noVBand="1"/>
      </w:tblPr>
      <w:tblGrid>
        <w:gridCol w:w="9289"/>
      </w:tblGrid>
      <w:tr w:rsidR="006A41E2" w14:paraId="74DFE95E" w14:textId="77777777" w:rsidTr="00E45665">
        <w:tc>
          <w:tcPr>
            <w:tcW w:w="9289" w:type="dxa"/>
          </w:tcPr>
          <w:p w14:paraId="602B165F" w14:textId="2E72CE56" w:rsidR="004D3939" w:rsidRDefault="00BF5EDA" w:rsidP="00D138C8">
            <w:pPr>
              <w:pStyle w:val="Personnequisigne"/>
              <w:jc w:val="both"/>
            </w:pPr>
            <w:r>
              <w:t>Under ISF, p</w:t>
            </w:r>
            <w:r w:rsidR="008838AC">
              <w:t xml:space="preserve">roject </w:t>
            </w:r>
            <w:r>
              <w:t>‘</w:t>
            </w:r>
            <w:r w:rsidR="004D3939">
              <w:t>ISF-087-113</w:t>
            </w:r>
            <w:r>
              <w:t>’</w:t>
            </w:r>
            <w:r w:rsidR="004D3939">
              <w:t xml:space="preserve"> </w:t>
            </w:r>
            <w:r>
              <w:t>is financed by o</w:t>
            </w:r>
            <w:r w:rsidR="004D3939">
              <w:t xml:space="preserve">perating </w:t>
            </w:r>
            <w:r>
              <w:t>s</w:t>
            </w:r>
            <w:r w:rsidR="004D3939">
              <w:t>upport</w:t>
            </w:r>
            <w:r w:rsidR="00D138C8">
              <w:t xml:space="preserve"> and is used to ensure the </w:t>
            </w:r>
            <w:r>
              <w:t xml:space="preserve">necessary </w:t>
            </w:r>
            <w:r w:rsidR="00D138C8">
              <w:t>operational support of the API/PNR-system, including but not limited to maintenance of the secured IT infrastructure, data quality improvements, operational staff costs, etc.</w:t>
            </w:r>
          </w:p>
          <w:p w14:paraId="02AB9A87" w14:textId="77777777" w:rsidR="00D138C8" w:rsidRPr="00D138C8" w:rsidRDefault="00D138C8" w:rsidP="00D138C8">
            <w:pPr>
              <w:pStyle w:val="Institutionquisigne"/>
              <w:spacing w:before="0"/>
            </w:pPr>
          </w:p>
          <w:p w14:paraId="124F9661" w14:textId="260980A6" w:rsidR="00D138C8" w:rsidRPr="00D138C8" w:rsidRDefault="00D138C8" w:rsidP="00D138C8">
            <w:pPr>
              <w:pStyle w:val="Institutionquisigne"/>
              <w:spacing w:before="0"/>
            </w:pPr>
            <w:r w:rsidRPr="00D138C8">
              <w:t xml:space="preserve">At a ratio of </w:t>
            </w:r>
            <w:r w:rsidR="00502B20">
              <w:t>15</w:t>
            </w:r>
            <w:r w:rsidR="009B60B7">
              <w:t>,</w:t>
            </w:r>
            <w:r w:rsidR="00502B20">
              <w:t>55</w:t>
            </w:r>
            <w:r w:rsidRPr="00D138C8">
              <w:t xml:space="preserve"> % (€ </w:t>
            </w:r>
            <w:r w:rsidR="009B60B7" w:rsidRPr="0026083B">
              <w:t>3.</w:t>
            </w:r>
            <w:r w:rsidR="0026083B">
              <w:t>880.000,00</w:t>
            </w:r>
            <w:r w:rsidRPr="00D138C8">
              <w:t xml:space="preserve"> allocated to operating support projects / € </w:t>
            </w:r>
            <w:r w:rsidR="00856A52">
              <w:t>24</w:t>
            </w:r>
            <w:r w:rsidR="00B65668">
              <w:t>.</w:t>
            </w:r>
            <w:r w:rsidR="00856A52">
              <w:t>949</w:t>
            </w:r>
            <w:r w:rsidR="00B65668">
              <w:t>.</w:t>
            </w:r>
            <w:r w:rsidR="00856A52">
              <w:t>779,03</w:t>
            </w:r>
            <w:r w:rsidRPr="00D138C8">
              <w:t xml:space="preserve"> total allocated EU subsidy amount</w:t>
            </w:r>
            <w:r w:rsidR="00B65668">
              <w:t>)</w:t>
            </w:r>
            <w:r w:rsidR="00502B20">
              <w:t>,</w:t>
            </w:r>
            <w:r w:rsidRPr="00D138C8">
              <w:t xml:space="preserve"> the potential total cumulative eligible cost of operating support does </w:t>
            </w:r>
            <w:r w:rsidRPr="00D138C8">
              <w:rPr>
                <w:u w:val="single"/>
              </w:rPr>
              <w:t>not</w:t>
            </w:r>
            <w:r w:rsidRPr="00D138C8">
              <w:t xml:space="preserve"> exceed the above-mentioned threshold of </w:t>
            </w:r>
            <w:r w:rsidR="00B65668">
              <w:t>20</w:t>
            </w:r>
            <w:r w:rsidRPr="00D138C8">
              <w:t>% of the total programme allocation.</w:t>
            </w:r>
          </w:p>
          <w:p w14:paraId="2808143A" w14:textId="4E3E335B" w:rsidR="00D138C8" w:rsidRDefault="00D138C8" w:rsidP="009B60B7">
            <w:pPr>
              <w:pStyle w:val="Institutionquisigne"/>
              <w:spacing w:before="100" w:beforeAutospacing="1"/>
              <w:rPr>
                <w:szCs w:val="24"/>
              </w:rPr>
            </w:pPr>
            <w:r w:rsidRPr="00D138C8">
              <w:rPr>
                <w:szCs w:val="24"/>
              </w:rPr>
              <w:t xml:space="preserve">Currently, there is no risk that the </w:t>
            </w:r>
            <w:r w:rsidR="00B65668">
              <w:rPr>
                <w:szCs w:val="24"/>
              </w:rPr>
              <w:t>20</w:t>
            </w:r>
            <w:r w:rsidRPr="00D138C8">
              <w:rPr>
                <w:szCs w:val="24"/>
              </w:rPr>
              <w:t>% threshold is exceeded by the end of the programming period. Hence, no mitigating measures are need</w:t>
            </w:r>
            <w:r w:rsidR="009808C1">
              <w:rPr>
                <w:szCs w:val="24"/>
              </w:rPr>
              <w:t>ed</w:t>
            </w:r>
            <w:r w:rsidRPr="00D138C8">
              <w:rPr>
                <w:szCs w:val="24"/>
              </w:rPr>
              <w:t xml:space="preserve"> / envisaged.</w:t>
            </w:r>
          </w:p>
          <w:p w14:paraId="6013DBB0" w14:textId="32274829" w:rsidR="009B60B7" w:rsidRPr="009B60B7" w:rsidRDefault="009B60B7" w:rsidP="009B60B7">
            <w:pPr>
              <w:pStyle w:val="Personnequisigne"/>
            </w:pPr>
          </w:p>
        </w:tc>
      </w:tr>
    </w:tbl>
    <w:p w14:paraId="4D08B3B5" w14:textId="2CFC810E" w:rsidR="006A41E2" w:rsidRPr="007C5943" w:rsidRDefault="004C5B3C" w:rsidP="004C5B3C">
      <w:pPr>
        <w:pStyle w:val="ManualHeading2"/>
        <w:rPr>
          <w:noProof/>
        </w:rPr>
      </w:pPr>
      <w:r w:rsidRPr="004C5B3C">
        <w:t>1.5.</w:t>
      </w:r>
      <w:r w:rsidRPr="004C5B3C">
        <w:tab/>
      </w:r>
      <w:r w:rsidR="006A41E2" w:rsidRPr="00D378BC">
        <w:rPr>
          <w:noProof/>
        </w:rPr>
        <w:t xml:space="preserve">Specific </w:t>
      </w:r>
      <w:r w:rsidR="00085A16" w:rsidRPr="00D378BC">
        <w:rPr>
          <w:noProof/>
        </w:rPr>
        <w:t>a</w:t>
      </w:r>
      <w:r w:rsidR="006A41E2" w:rsidRPr="00D378BC">
        <w:rPr>
          <w:noProof/>
        </w:rPr>
        <w:t>ctions</w:t>
      </w:r>
      <w:r w:rsidR="006A41E2" w:rsidRPr="00D378BC">
        <w:rPr>
          <w:rStyle w:val="FootnoteReference"/>
          <w:noProof/>
        </w:rPr>
        <w:footnoteReference w:id="8"/>
      </w:r>
      <w:r w:rsidR="006A41E2" w:rsidRPr="007C5943">
        <w:rPr>
          <w:noProof/>
        </w:rPr>
        <w:t xml:space="preserve"> </w:t>
      </w:r>
    </w:p>
    <w:p w14:paraId="61E30AA2" w14:textId="18CF7AE8" w:rsidR="00EA1A2F" w:rsidRPr="00EA1A2F" w:rsidRDefault="00EA1A2F" w:rsidP="00EA1A2F">
      <w:pPr>
        <w:rPr>
          <w:noProof/>
          <w:sz w:val="22"/>
        </w:rPr>
      </w:pPr>
      <w:r>
        <w:rPr>
          <w:noProof/>
          <w:sz w:val="22"/>
        </w:rPr>
        <w:t>D</w:t>
      </w:r>
      <w:r w:rsidR="006A41E2" w:rsidRPr="006A41E2">
        <w:rPr>
          <w:noProof/>
          <w:sz w:val="22"/>
        </w:rPr>
        <w:t>escribe the main achievements of any specific action</w:t>
      </w:r>
      <w:r w:rsidR="003E36B0">
        <w:rPr>
          <w:noProof/>
          <w:sz w:val="22"/>
        </w:rPr>
        <w:t>s</w:t>
      </w:r>
      <w:r w:rsidR="006A41E2" w:rsidRPr="006A41E2">
        <w:rPr>
          <w:noProof/>
          <w:sz w:val="22"/>
        </w:rPr>
        <w:t xml:space="preserve"> </w:t>
      </w:r>
      <w:r w:rsidR="003E36B0">
        <w:rPr>
          <w:noProof/>
          <w:sz w:val="22"/>
        </w:rPr>
        <w:t>carried out</w:t>
      </w:r>
      <w:r w:rsidR="003E36B0" w:rsidRPr="006A41E2">
        <w:rPr>
          <w:noProof/>
          <w:sz w:val="22"/>
        </w:rPr>
        <w:t xml:space="preserve"> </w:t>
      </w:r>
      <w:r w:rsidR="006A41E2" w:rsidRPr="006A41E2">
        <w:rPr>
          <w:noProof/>
          <w:sz w:val="22"/>
        </w:rPr>
        <w:t>during the accounting year, and how they contribute</w:t>
      </w:r>
      <w:r w:rsidR="003E36B0">
        <w:rPr>
          <w:noProof/>
          <w:sz w:val="22"/>
        </w:rPr>
        <w:t>d</w:t>
      </w:r>
      <w:r w:rsidR="006A41E2" w:rsidRPr="006A41E2">
        <w:rPr>
          <w:noProof/>
          <w:sz w:val="22"/>
        </w:rPr>
        <w:t xml:space="preserve"> to </w:t>
      </w:r>
      <w:r w:rsidR="001E3E4B" w:rsidRPr="006A41E2">
        <w:rPr>
          <w:noProof/>
          <w:sz w:val="22"/>
        </w:rPr>
        <w:t xml:space="preserve">achieving the objectives of the programme </w:t>
      </w:r>
      <w:r w:rsidR="001E3E4B">
        <w:rPr>
          <w:noProof/>
          <w:sz w:val="22"/>
        </w:rPr>
        <w:t xml:space="preserve">and </w:t>
      </w:r>
      <w:r w:rsidRPr="00EA1A2F">
        <w:rPr>
          <w:noProof/>
          <w:sz w:val="22"/>
        </w:rPr>
        <w:t xml:space="preserve">to generating </w:t>
      </w:r>
      <w:r w:rsidR="00554DAE">
        <w:rPr>
          <w:noProof/>
          <w:sz w:val="22"/>
        </w:rPr>
        <w:t>Union</w:t>
      </w:r>
      <w:r w:rsidR="00554DAE" w:rsidRPr="00EA1A2F">
        <w:rPr>
          <w:noProof/>
          <w:sz w:val="22"/>
        </w:rPr>
        <w:t xml:space="preserve"> </w:t>
      </w:r>
      <w:r w:rsidRPr="00EA1A2F">
        <w:rPr>
          <w:noProof/>
          <w:sz w:val="22"/>
        </w:rPr>
        <w:t>added value.</w:t>
      </w:r>
      <w:r w:rsidRPr="006D7F5F">
        <w:rPr>
          <w:rStyle w:val="FootnoteReference"/>
          <w:noProof/>
        </w:rPr>
        <w:footnoteReference w:id="9"/>
      </w:r>
      <w:r w:rsidRPr="00EA1A2F">
        <w:rPr>
          <w:noProof/>
          <w:sz w:val="22"/>
        </w:rPr>
        <w:t xml:space="preserve">  </w:t>
      </w:r>
    </w:p>
    <w:p w14:paraId="5E1BC78F" w14:textId="77777777" w:rsidR="006A41E2" w:rsidRPr="00EA1A2F" w:rsidRDefault="00EA1A2F" w:rsidP="00EA1A2F">
      <w:pPr>
        <w:rPr>
          <w:noProof/>
          <w:sz w:val="22"/>
        </w:rPr>
      </w:pPr>
      <w:r w:rsidRPr="00EA1A2F">
        <w:rPr>
          <w:noProof/>
          <w:sz w:val="22"/>
        </w:rPr>
        <w:t>Describe how the individual actions have advanced, both procedurally</w:t>
      </w:r>
      <w:r w:rsidRPr="006D7F5F">
        <w:rPr>
          <w:rStyle w:val="FootnoteReference"/>
          <w:noProof/>
        </w:rPr>
        <w:footnoteReference w:id="10"/>
      </w:r>
      <w:r w:rsidRPr="00EA1A2F">
        <w:rPr>
          <w:noProof/>
          <w:sz w:val="22"/>
        </w:rPr>
        <w:t xml:space="preserve"> and operationally</w:t>
      </w:r>
      <w:r w:rsidRPr="006D7F5F">
        <w:rPr>
          <w:rStyle w:val="FootnoteReference"/>
          <w:noProof/>
        </w:rPr>
        <w:footnoteReference w:id="11"/>
      </w:r>
      <w:r w:rsidRPr="00EA1A2F">
        <w:rPr>
          <w:noProof/>
          <w:sz w:val="22"/>
        </w:rPr>
        <w:t xml:space="preserve"> and highlight any issues affecting their performance, in particular any risk of underspending. </w:t>
      </w:r>
      <w:r w:rsidR="006A41E2" w:rsidRPr="00EA1A2F">
        <w:rPr>
          <w:noProof/>
          <w:sz w:val="22"/>
        </w:rPr>
        <w:t xml:space="preserve"> </w:t>
      </w:r>
    </w:p>
    <w:p w14:paraId="6AC3A990" w14:textId="77777777" w:rsidR="006A41E2" w:rsidRPr="00426002" w:rsidRDefault="006A41E2" w:rsidP="006A41E2">
      <w:pPr>
        <w:rPr>
          <w:noProof/>
          <w:sz w:val="22"/>
        </w:rPr>
      </w:pPr>
      <w:r w:rsidRPr="006A41E2">
        <w:rPr>
          <w:noProof/>
          <w:sz w:val="22"/>
        </w:rPr>
        <w:t xml:space="preserve">If relevant, </w:t>
      </w:r>
      <w:r w:rsidR="003E36B0">
        <w:rPr>
          <w:noProof/>
          <w:sz w:val="22"/>
        </w:rPr>
        <w:t>break this</w:t>
      </w:r>
      <w:r w:rsidRPr="006A41E2">
        <w:rPr>
          <w:noProof/>
          <w:sz w:val="22"/>
        </w:rPr>
        <w:t xml:space="preserve"> information </w:t>
      </w:r>
      <w:r w:rsidR="003E36B0">
        <w:rPr>
          <w:noProof/>
          <w:sz w:val="22"/>
        </w:rPr>
        <w:t>down to</w:t>
      </w:r>
      <w:r w:rsidR="003E36B0" w:rsidRPr="006A41E2">
        <w:rPr>
          <w:noProof/>
          <w:sz w:val="22"/>
        </w:rPr>
        <w:t xml:space="preserve"> </w:t>
      </w:r>
      <w:r w:rsidRPr="006A41E2">
        <w:rPr>
          <w:noProof/>
          <w:sz w:val="22"/>
        </w:rPr>
        <w:t xml:space="preserve">the project level. </w:t>
      </w:r>
      <w:r w:rsidR="00C62604">
        <w:rPr>
          <w:noProof/>
          <w:sz w:val="22"/>
        </w:rPr>
        <w:t>If</w:t>
      </w:r>
      <w:r w:rsidRPr="006A41E2">
        <w:rPr>
          <w:noProof/>
          <w:sz w:val="22"/>
        </w:rPr>
        <w:t xml:space="preserve"> a</w:t>
      </w:r>
      <w:r w:rsidR="003E36B0">
        <w:rPr>
          <w:noProof/>
          <w:sz w:val="22"/>
        </w:rPr>
        <w:t>ny</w:t>
      </w:r>
      <w:r w:rsidRPr="006A41E2">
        <w:rPr>
          <w:noProof/>
          <w:sz w:val="22"/>
        </w:rPr>
        <w:t xml:space="preserve"> deviation from the original planning is expected, </w:t>
      </w:r>
      <w:r w:rsidR="003E36B0">
        <w:rPr>
          <w:noProof/>
          <w:sz w:val="22"/>
        </w:rPr>
        <w:t>explain</w:t>
      </w:r>
      <w:r w:rsidR="003E36B0" w:rsidRPr="006A41E2">
        <w:rPr>
          <w:noProof/>
          <w:sz w:val="22"/>
        </w:rPr>
        <w:t xml:space="preserve"> </w:t>
      </w:r>
      <w:r w:rsidRPr="006A41E2">
        <w:rPr>
          <w:noProof/>
          <w:sz w:val="22"/>
        </w:rPr>
        <w:t>the reason</w:t>
      </w:r>
      <w:r w:rsidR="00C56E81">
        <w:rPr>
          <w:noProof/>
          <w:sz w:val="22"/>
        </w:rPr>
        <w:t>s</w:t>
      </w:r>
      <w:r w:rsidRPr="006A41E2">
        <w:rPr>
          <w:noProof/>
          <w:sz w:val="22"/>
        </w:rPr>
        <w:t xml:space="preserve"> for </w:t>
      </w:r>
      <w:r w:rsidR="003E36B0">
        <w:rPr>
          <w:noProof/>
          <w:sz w:val="22"/>
        </w:rPr>
        <w:t>this</w:t>
      </w:r>
      <w:r w:rsidRPr="006A41E2">
        <w:rPr>
          <w:noProof/>
          <w:sz w:val="22"/>
        </w:rPr>
        <w:t xml:space="preserve">, </w:t>
      </w:r>
      <w:r w:rsidR="003E36B0">
        <w:rPr>
          <w:noProof/>
          <w:sz w:val="22"/>
        </w:rPr>
        <w:t>describe</w:t>
      </w:r>
      <w:r w:rsidRPr="006A41E2">
        <w:rPr>
          <w:noProof/>
          <w:sz w:val="22"/>
        </w:rPr>
        <w:t xml:space="preserve"> any mitigating actions taken</w:t>
      </w:r>
      <w:r w:rsidR="003E36B0">
        <w:rPr>
          <w:noProof/>
          <w:sz w:val="22"/>
        </w:rPr>
        <w:t>,</w:t>
      </w:r>
      <w:r w:rsidRPr="006A41E2">
        <w:rPr>
          <w:noProof/>
          <w:sz w:val="22"/>
        </w:rPr>
        <w:t xml:space="preserve"> and </w:t>
      </w:r>
      <w:r w:rsidR="003E36B0">
        <w:rPr>
          <w:noProof/>
          <w:sz w:val="22"/>
        </w:rPr>
        <w:t xml:space="preserve">provide </w:t>
      </w:r>
      <w:r w:rsidRPr="006A41E2">
        <w:rPr>
          <w:noProof/>
          <w:sz w:val="22"/>
        </w:rPr>
        <w:t>the revised timetable.</w:t>
      </w:r>
    </w:p>
    <w:tbl>
      <w:tblPr>
        <w:tblStyle w:val="TableGrid"/>
        <w:tblW w:w="0" w:type="auto"/>
        <w:tblLook w:val="04A0" w:firstRow="1" w:lastRow="0" w:firstColumn="1" w:lastColumn="0" w:noHBand="0" w:noVBand="1"/>
      </w:tblPr>
      <w:tblGrid>
        <w:gridCol w:w="9289"/>
      </w:tblGrid>
      <w:tr w:rsidR="006A41E2" w:rsidRPr="003779C4" w14:paraId="7715AE3C" w14:textId="77777777" w:rsidTr="00E45665">
        <w:tc>
          <w:tcPr>
            <w:tcW w:w="9289" w:type="dxa"/>
          </w:tcPr>
          <w:p w14:paraId="7FD11E10" w14:textId="151B89ED" w:rsidR="004D3939" w:rsidRDefault="004D3939" w:rsidP="00226735">
            <w:pPr>
              <w:pStyle w:val="Institutionquisigne"/>
              <w:spacing w:before="0"/>
            </w:pPr>
            <w:r w:rsidRPr="004D3939">
              <w:t>No s</w:t>
            </w:r>
            <w:r>
              <w:t>pecific actions were carr</w:t>
            </w:r>
            <w:r w:rsidR="00814472">
              <w:t>ied out in the reference period.</w:t>
            </w:r>
          </w:p>
          <w:p w14:paraId="5C8705F0" w14:textId="77777777" w:rsidR="00226735" w:rsidRPr="00226735" w:rsidRDefault="00226735" w:rsidP="00226735">
            <w:pPr>
              <w:pStyle w:val="Personnequisigne"/>
            </w:pPr>
          </w:p>
          <w:p w14:paraId="1D411B92" w14:textId="1D36A813" w:rsidR="0064167C" w:rsidRDefault="0064167C" w:rsidP="00226735">
            <w:pPr>
              <w:pStyle w:val="Personnequisigne"/>
              <w:jc w:val="both"/>
            </w:pPr>
            <w:r>
              <w:t xml:space="preserve">On 17/11/2023, the European Commission informed BE’s Managing Authority that </w:t>
            </w:r>
            <w:r w:rsidR="00226735">
              <w:t xml:space="preserve">its </w:t>
            </w:r>
            <w:r>
              <w:t xml:space="preserve">application ISF/2023/SA/2.1.1/001 </w:t>
            </w:r>
            <w:r w:rsidR="00226735">
              <w:t>(</w:t>
            </w:r>
            <w:r>
              <w:t>NEOS4EU</w:t>
            </w:r>
            <w:r w:rsidR="00226735">
              <w:t>)</w:t>
            </w:r>
            <w:r>
              <w:t xml:space="preserve"> </w:t>
            </w:r>
            <w:r w:rsidR="00226735">
              <w:t>was</w:t>
            </w:r>
            <w:r>
              <w:t xml:space="preserve"> selected.</w:t>
            </w:r>
            <w:r w:rsidR="00226735">
              <w:t xml:space="preserve"> In addition, also </w:t>
            </w:r>
            <w:r>
              <w:t xml:space="preserve">application ISF/2023/SA/2.1.1/003 </w:t>
            </w:r>
            <w:r w:rsidR="00226735">
              <w:t>(</w:t>
            </w:r>
            <w:r>
              <w:t>ESG: Into the Future as One</w:t>
            </w:r>
            <w:r w:rsidR="00226735">
              <w:t>)</w:t>
            </w:r>
            <w:r>
              <w:t xml:space="preserve">, in which </w:t>
            </w:r>
            <w:r w:rsidR="00226735">
              <w:t>BE</w:t>
            </w:r>
            <w:r>
              <w:t xml:space="preserve"> participate</w:t>
            </w:r>
            <w:r w:rsidR="00226735">
              <w:t>s as a partner</w:t>
            </w:r>
            <w:r>
              <w:t xml:space="preserve">, </w:t>
            </w:r>
            <w:r w:rsidR="00226735">
              <w:t>was</w:t>
            </w:r>
            <w:r>
              <w:t xml:space="preserve"> selected.</w:t>
            </w:r>
            <w:r w:rsidR="007A24F1">
              <w:t xml:space="preserve"> It is expected that these projects will start</w:t>
            </w:r>
            <w:r w:rsidR="00A91065">
              <w:t xml:space="preserve"> in the next reporting period, and will hence be reported in the next APR.</w:t>
            </w:r>
          </w:p>
          <w:p w14:paraId="6F4CF9BD" w14:textId="3752D564" w:rsidR="00814472" w:rsidRPr="00814472" w:rsidRDefault="00814472" w:rsidP="00814472">
            <w:pPr>
              <w:pStyle w:val="Personnequisigne"/>
            </w:pPr>
          </w:p>
        </w:tc>
      </w:tr>
    </w:tbl>
    <w:p w14:paraId="15CA2744" w14:textId="77777777" w:rsidR="006A41E2" w:rsidRPr="00930AD9" w:rsidRDefault="00544E72" w:rsidP="00930AD9">
      <w:pPr>
        <w:rPr>
          <w:noProof/>
          <w:sz w:val="22"/>
        </w:rPr>
      </w:pPr>
      <w:r>
        <w:rPr>
          <w:noProof/>
          <w:sz w:val="22"/>
        </w:rPr>
        <w:t>E</w:t>
      </w:r>
      <w:r w:rsidR="006A41E2" w:rsidRPr="00F5431B">
        <w:rPr>
          <w:noProof/>
          <w:sz w:val="22"/>
        </w:rPr>
        <w:t xml:space="preserve">nter in </w:t>
      </w:r>
      <w:r w:rsidR="00930AD9">
        <w:rPr>
          <w:noProof/>
          <w:sz w:val="22"/>
        </w:rPr>
        <w:t xml:space="preserve">the </w:t>
      </w:r>
      <w:r w:rsidR="00085A16">
        <w:rPr>
          <w:noProof/>
          <w:sz w:val="22"/>
        </w:rPr>
        <w:t>T</w:t>
      </w:r>
      <w:r w:rsidR="006A41E2" w:rsidRPr="00F5431B">
        <w:rPr>
          <w:noProof/>
          <w:sz w:val="22"/>
        </w:rPr>
        <w:t>able</w:t>
      </w:r>
      <w:r w:rsidR="00085A16">
        <w:rPr>
          <w:noProof/>
          <w:sz w:val="22"/>
        </w:rPr>
        <w:t xml:space="preserve"> </w:t>
      </w:r>
      <w:r w:rsidR="006A41E2" w:rsidRPr="00F5431B">
        <w:rPr>
          <w:noProof/>
          <w:sz w:val="22"/>
        </w:rPr>
        <w:t xml:space="preserve">below the details of all the </w:t>
      </w:r>
      <w:r w:rsidR="006A41E2" w:rsidRPr="003C022B">
        <w:rPr>
          <w:noProof/>
          <w:sz w:val="22"/>
        </w:rPr>
        <w:t xml:space="preserve">national </w:t>
      </w:r>
      <w:r w:rsidR="006A41E2" w:rsidRPr="00F5431B">
        <w:rPr>
          <w:noProof/>
          <w:sz w:val="22"/>
        </w:rPr>
        <w:t xml:space="preserve">specific </w:t>
      </w:r>
      <w:r w:rsidR="006A41E2" w:rsidRPr="003C022B">
        <w:rPr>
          <w:noProof/>
          <w:sz w:val="22"/>
        </w:rPr>
        <w:t>actions</w:t>
      </w:r>
      <w:r w:rsidR="006A41E2" w:rsidRPr="00F5431B">
        <w:rPr>
          <w:noProof/>
          <w:sz w:val="22"/>
        </w:rPr>
        <w:t xml:space="preserve"> implemented i</w:t>
      </w:r>
      <w:r w:rsidR="006A41E2">
        <w:rPr>
          <w:noProof/>
          <w:sz w:val="22"/>
        </w:rPr>
        <w:t xml:space="preserve">n </w:t>
      </w:r>
      <w:r w:rsidR="007850C9">
        <w:rPr>
          <w:noProof/>
          <w:sz w:val="22"/>
        </w:rPr>
        <w:t xml:space="preserve">the </w:t>
      </w:r>
      <w:r w:rsidR="006A41E2">
        <w:rPr>
          <w:noProof/>
          <w:sz w:val="22"/>
        </w:rPr>
        <w:t xml:space="preserve">programme. </w:t>
      </w:r>
      <w:r w:rsidR="007850C9">
        <w:rPr>
          <w:noProof/>
          <w:sz w:val="22"/>
        </w:rPr>
        <w:t>The r</w:t>
      </w:r>
      <w:r w:rsidR="006A41E2">
        <w:rPr>
          <w:noProof/>
          <w:sz w:val="22"/>
        </w:rPr>
        <w:t>eporting on t</w:t>
      </w:r>
      <w:r w:rsidR="006A41E2" w:rsidRPr="00F5431B">
        <w:rPr>
          <w:noProof/>
          <w:sz w:val="22"/>
        </w:rPr>
        <w:t>ransnational</w:t>
      </w:r>
      <w:r w:rsidR="006A41E2">
        <w:rPr>
          <w:noProof/>
          <w:sz w:val="22"/>
        </w:rPr>
        <w:t xml:space="preserve"> specific actions should be consistent with</w:t>
      </w:r>
      <w:r w:rsidR="006A41E2" w:rsidRPr="00F5431B">
        <w:rPr>
          <w:noProof/>
          <w:sz w:val="22"/>
        </w:rPr>
        <w:t xml:space="preserve"> the chosen reporting option.</w:t>
      </w:r>
      <w:r w:rsidR="006A41E2">
        <w:rPr>
          <w:rStyle w:val="FootnoteReference"/>
          <w:noProof/>
          <w:sz w:val="22"/>
        </w:rPr>
        <w:footnoteReference w:id="12"/>
      </w:r>
      <w:r w:rsidR="006A41E2" w:rsidRPr="00F5431B">
        <w:rPr>
          <w:noProof/>
          <w:sz w:val="22"/>
        </w:rPr>
        <w:t xml:space="preserve"> </w:t>
      </w:r>
    </w:p>
    <w:tbl>
      <w:tblPr>
        <w:tblStyle w:val="TableGrid"/>
        <w:tblW w:w="9242" w:type="dxa"/>
        <w:tblLayout w:type="fixed"/>
        <w:tblCellMar>
          <w:left w:w="28" w:type="dxa"/>
          <w:right w:w="28" w:type="dxa"/>
        </w:tblCellMar>
        <w:tblLook w:val="04A0" w:firstRow="1" w:lastRow="0" w:firstColumn="1" w:lastColumn="0" w:noHBand="0" w:noVBand="1"/>
      </w:tblPr>
      <w:tblGrid>
        <w:gridCol w:w="879"/>
        <w:gridCol w:w="992"/>
        <w:gridCol w:w="992"/>
        <w:gridCol w:w="1276"/>
        <w:gridCol w:w="851"/>
        <w:gridCol w:w="1134"/>
        <w:gridCol w:w="1505"/>
        <w:gridCol w:w="1613"/>
      </w:tblGrid>
      <w:tr w:rsidR="006A41E2" w:rsidRPr="00F5431B" w14:paraId="6F748BB7" w14:textId="77777777" w:rsidTr="00D61B53">
        <w:trPr>
          <w:trHeight w:val="431"/>
        </w:trPr>
        <w:tc>
          <w:tcPr>
            <w:tcW w:w="879" w:type="dxa"/>
            <w:vMerge w:val="restart"/>
            <w:vAlign w:val="center"/>
          </w:tcPr>
          <w:p w14:paraId="07510BBC" w14:textId="77777777" w:rsidR="006A41E2" w:rsidRPr="00F5431B" w:rsidRDefault="006A41E2" w:rsidP="00E45665">
            <w:pPr>
              <w:pStyle w:val="Institutionquisigne"/>
              <w:spacing w:before="0"/>
              <w:jc w:val="center"/>
              <w:rPr>
                <w:i w:val="0"/>
                <w:noProof/>
                <w:sz w:val="20"/>
              </w:rPr>
            </w:pPr>
            <w:r w:rsidRPr="00F5431B">
              <w:rPr>
                <w:i w:val="0"/>
                <w:noProof/>
                <w:sz w:val="20"/>
              </w:rPr>
              <w:t>S</w:t>
            </w:r>
            <w:r w:rsidR="00D61B53">
              <w:rPr>
                <w:i w:val="0"/>
                <w:noProof/>
                <w:sz w:val="20"/>
              </w:rPr>
              <w:t xml:space="preserve">pecific </w:t>
            </w:r>
            <w:r w:rsidRPr="00F5431B">
              <w:rPr>
                <w:i w:val="0"/>
                <w:noProof/>
                <w:sz w:val="20"/>
              </w:rPr>
              <w:t>O</w:t>
            </w:r>
            <w:r w:rsidR="00D61B53">
              <w:rPr>
                <w:i w:val="0"/>
                <w:noProof/>
                <w:sz w:val="20"/>
              </w:rPr>
              <w:t>bjective</w:t>
            </w:r>
          </w:p>
        </w:tc>
        <w:tc>
          <w:tcPr>
            <w:tcW w:w="992" w:type="dxa"/>
            <w:vMerge w:val="restart"/>
            <w:vAlign w:val="center"/>
          </w:tcPr>
          <w:p w14:paraId="4B3BEF55" w14:textId="77777777" w:rsidR="006A41E2" w:rsidRPr="00F5431B" w:rsidRDefault="006A41E2" w:rsidP="00E45665">
            <w:pPr>
              <w:pStyle w:val="Institutionquisigne"/>
              <w:spacing w:before="0"/>
              <w:jc w:val="center"/>
              <w:rPr>
                <w:i w:val="0"/>
                <w:noProof/>
                <w:sz w:val="20"/>
              </w:rPr>
            </w:pPr>
            <w:r w:rsidRPr="00F5431B">
              <w:rPr>
                <w:i w:val="0"/>
                <w:noProof/>
                <w:sz w:val="20"/>
              </w:rPr>
              <w:t xml:space="preserve">Name </w:t>
            </w:r>
            <w:r>
              <w:rPr>
                <w:i w:val="0"/>
                <w:noProof/>
                <w:sz w:val="20"/>
              </w:rPr>
              <w:t>/</w:t>
            </w:r>
            <w:r w:rsidRPr="003C022B">
              <w:rPr>
                <w:i w:val="0"/>
                <w:noProof/>
                <w:sz w:val="20"/>
              </w:rPr>
              <w:t xml:space="preserve"> reference number </w:t>
            </w:r>
            <w:r w:rsidRPr="00F5431B">
              <w:rPr>
                <w:i w:val="0"/>
                <w:noProof/>
                <w:sz w:val="20"/>
              </w:rPr>
              <w:t xml:space="preserve">of the </w:t>
            </w:r>
            <w:r w:rsidRPr="003C022B">
              <w:rPr>
                <w:i w:val="0"/>
                <w:noProof/>
                <w:sz w:val="20"/>
              </w:rPr>
              <w:t>action</w:t>
            </w:r>
          </w:p>
        </w:tc>
        <w:tc>
          <w:tcPr>
            <w:tcW w:w="992" w:type="dxa"/>
            <w:vMerge w:val="restart"/>
            <w:vAlign w:val="center"/>
          </w:tcPr>
          <w:p w14:paraId="55596705" w14:textId="77777777" w:rsidR="006A41E2" w:rsidRPr="00F5431B" w:rsidRDefault="006A41E2" w:rsidP="00E45665">
            <w:pPr>
              <w:pStyle w:val="Institutionquisigne"/>
              <w:spacing w:before="0"/>
              <w:jc w:val="center"/>
              <w:rPr>
                <w:i w:val="0"/>
                <w:noProof/>
                <w:sz w:val="20"/>
              </w:rPr>
            </w:pPr>
            <w:r w:rsidRPr="00F5431B">
              <w:rPr>
                <w:i w:val="0"/>
                <w:noProof/>
                <w:sz w:val="20"/>
              </w:rPr>
              <w:t>Beneficiary</w:t>
            </w:r>
          </w:p>
        </w:tc>
        <w:tc>
          <w:tcPr>
            <w:tcW w:w="1276" w:type="dxa"/>
            <w:vMerge w:val="restart"/>
            <w:vAlign w:val="center"/>
          </w:tcPr>
          <w:p w14:paraId="61D20E2B" w14:textId="77777777" w:rsidR="006A41E2" w:rsidRPr="00F5431B" w:rsidRDefault="006A41E2" w:rsidP="00E45665">
            <w:pPr>
              <w:pStyle w:val="Institutionquisigne"/>
              <w:spacing w:before="0"/>
              <w:jc w:val="center"/>
              <w:rPr>
                <w:i w:val="0"/>
                <w:noProof/>
                <w:sz w:val="20"/>
              </w:rPr>
            </w:pPr>
            <w:r w:rsidRPr="00F5431B">
              <w:rPr>
                <w:i w:val="0"/>
                <w:noProof/>
                <w:sz w:val="20"/>
              </w:rPr>
              <w:t>Implementing Period</w:t>
            </w:r>
          </w:p>
        </w:tc>
        <w:tc>
          <w:tcPr>
            <w:tcW w:w="851" w:type="dxa"/>
            <w:vMerge w:val="restart"/>
            <w:vAlign w:val="center"/>
          </w:tcPr>
          <w:p w14:paraId="52768247" w14:textId="77777777" w:rsidR="006A41E2" w:rsidRPr="003C022B" w:rsidRDefault="006A41E2" w:rsidP="006A41E2">
            <w:pPr>
              <w:pStyle w:val="Institutionquisigne"/>
              <w:spacing w:before="0"/>
              <w:jc w:val="center"/>
              <w:rPr>
                <w:i w:val="0"/>
                <w:noProof/>
                <w:sz w:val="20"/>
              </w:rPr>
            </w:pPr>
            <w:r w:rsidRPr="003C022B">
              <w:rPr>
                <w:i w:val="0"/>
                <w:noProof/>
                <w:sz w:val="20"/>
              </w:rPr>
              <w:t>Eligible cost</w:t>
            </w:r>
            <w:r>
              <w:rPr>
                <w:rStyle w:val="FootnoteReference"/>
                <w:i w:val="0"/>
                <w:noProof/>
                <w:sz w:val="20"/>
              </w:rPr>
              <w:footnoteReference w:id="13"/>
            </w:r>
          </w:p>
        </w:tc>
        <w:tc>
          <w:tcPr>
            <w:tcW w:w="1134" w:type="dxa"/>
            <w:vMerge w:val="restart"/>
            <w:vAlign w:val="center"/>
          </w:tcPr>
          <w:p w14:paraId="2770C4E5" w14:textId="77777777" w:rsidR="006A41E2" w:rsidRPr="00F5431B" w:rsidRDefault="006A41E2" w:rsidP="006A41E2">
            <w:pPr>
              <w:pStyle w:val="Institutionquisigne"/>
              <w:spacing w:before="0"/>
              <w:jc w:val="center"/>
              <w:rPr>
                <w:i w:val="0"/>
                <w:noProof/>
                <w:sz w:val="20"/>
              </w:rPr>
            </w:pPr>
            <w:r w:rsidRPr="003C022B">
              <w:rPr>
                <w:i w:val="0"/>
                <w:noProof/>
                <w:sz w:val="20"/>
                <w:szCs w:val="20"/>
              </w:rPr>
              <w:t>Eligible expenditure</w:t>
            </w:r>
            <w:r>
              <w:rPr>
                <w:rStyle w:val="FootnoteReference"/>
                <w:i w:val="0"/>
                <w:noProof/>
                <w:sz w:val="20"/>
                <w:szCs w:val="20"/>
              </w:rPr>
              <w:footnoteReference w:id="14"/>
            </w:r>
          </w:p>
        </w:tc>
        <w:tc>
          <w:tcPr>
            <w:tcW w:w="3118" w:type="dxa"/>
            <w:gridSpan w:val="2"/>
            <w:vAlign w:val="center"/>
          </w:tcPr>
          <w:p w14:paraId="2C3E5CA2" w14:textId="77777777" w:rsidR="006A41E2" w:rsidRPr="00F5431B" w:rsidRDefault="006A41E2" w:rsidP="006A41E2">
            <w:pPr>
              <w:pStyle w:val="Institutionquisigne"/>
              <w:spacing w:before="0"/>
              <w:jc w:val="center"/>
              <w:rPr>
                <w:i w:val="0"/>
                <w:noProof/>
                <w:sz w:val="20"/>
              </w:rPr>
            </w:pPr>
            <w:r w:rsidRPr="00F5431B">
              <w:rPr>
                <w:i w:val="0"/>
                <w:noProof/>
                <w:sz w:val="20"/>
              </w:rPr>
              <w:t xml:space="preserve">Progress in the </w:t>
            </w:r>
            <w:r w:rsidRPr="003C022B">
              <w:rPr>
                <w:i w:val="0"/>
                <w:noProof/>
                <w:sz w:val="20"/>
              </w:rPr>
              <w:t>relevant</w:t>
            </w:r>
            <w:r w:rsidRPr="00F5431B">
              <w:rPr>
                <w:i w:val="0"/>
                <w:noProof/>
                <w:sz w:val="20"/>
              </w:rPr>
              <w:t xml:space="preserve"> </w:t>
            </w:r>
            <w:r w:rsidRPr="003C022B">
              <w:rPr>
                <w:i w:val="0"/>
                <w:noProof/>
                <w:sz w:val="20"/>
              </w:rPr>
              <w:t>common and / or programme specific indicators</w:t>
            </w:r>
            <w:r>
              <w:rPr>
                <w:rStyle w:val="FootnoteReference"/>
                <w:i w:val="0"/>
                <w:noProof/>
                <w:sz w:val="20"/>
              </w:rPr>
              <w:footnoteReference w:id="15"/>
            </w:r>
          </w:p>
        </w:tc>
      </w:tr>
      <w:tr w:rsidR="006A41E2" w14:paraId="3FD169D8" w14:textId="77777777" w:rsidTr="00D61B53">
        <w:tc>
          <w:tcPr>
            <w:tcW w:w="879" w:type="dxa"/>
            <w:vMerge/>
            <w:vAlign w:val="center"/>
          </w:tcPr>
          <w:p w14:paraId="6520D5A7" w14:textId="77777777" w:rsidR="006A41E2" w:rsidRPr="00F5431B" w:rsidRDefault="006A41E2" w:rsidP="00E45665">
            <w:pPr>
              <w:pStyle w:val="Institutionquisigne"/>
              <w:spacing w:before="0"/>
              <w:jc w:val="center"/>
              <w:rPr>
                <w:i w:val="0"/>
                <w:noProof/>
                <w:sz w:val="22"/>
              </w:rPr>
            </w:pPr>
          </w:p>
        </w:tc>
        <w:tc>
          <w:tcPr>
            <w:tcW w:w="992" w:type="dxa"/>
            <w:vMerge/>
            <w:vAlign w:val="center"/>
          </w:tcPr>
          <w:p w14:paraId="37B15058" w14:textId="77777777" w:rsidR="006A41E2" w:rsidRPr="00F5431B" w:rsidRDefault="006A41E2" w:rsidP="00E45665">
            <w:pPr>
              <w:pStyle w:val="Institutionquisigne"/>
              <w:spacing w:before="0"/>
              <w:jc w:val="center"/>
              <w:rPr>
                <w:noProof/>
              </w:rPr>
            </w:pPr>
          </w:p>
        </w:tc>
        <w:tc>
          <w:tcPr>
            <w:tcW w:w="992" w:type="dxa"/>
            <w:vMerge/>
            <w:vAlign w:val="center"/>
          </w:tcPr>
          <w:p w14:paraId="2864104B" w14:textId="77777777" w:rsidR="006A41E2" w:rsidRPr="00F5431B" w:rsidRDefault="006A41E2" w:rsidP="00E45665">
            <w:pPr>
              <w:pStyle w:val="Institutionquisigne"/>
              <w:spacing w:before="0"/>
              <w:jc w:val="center"/>
              <w:rPr>
                <w:noProof/>
              </w:rPr>
            </w:pPr>
          </w:p>
        </w:tc>
        <w:tc>
          <w:tcPr>
            <w:tcW w:w="1276" w:type="dxa"/>
            <w:vMerge/>
            <w:vAlign w:val="center"/>
          </w:tcPr>
          <w:p w14:paraId="21D1DC4C" w14:textId="77777777" w:rsidR="006A41E2" w:rsidRPr="00F5431B" w:rsidRDefault="006A41E2" w:rsidP="00E45665">
            <w:pPr>
              <w:pStyle w:val="Institutionquisigne"/>
              <w:spacing w:before="0"/>
              <w:jc w:val="center"/>
              <w:rPr>
                <w:noProof/>
              </w:rPr>
            </w:pPr>
          </w:p>
        </w:tc>
        <w:tc>
          <w:tcPr>
            <w:tcW w:w="851" w:type="dxa"/>
            <w:vMerge/>
            <w:vAlign w:val="center"/>
          </w:tcPr>
          <w:p w14:paraId="0AFD1B4A" w14:textId="77777777" w:rsidR="006A41E2" w:rsidRPr="003C022B" w:rsidRDefault="006A41E2" w:rsidP="00E45665">
            <w:pPr>
              <w:pStyle w:val="Institutionquisigne"/>
              <w:spacing w:before="0"/>
              <w:jc w:val="center"/>
              <w:rPr>
                <w:noProof/>
              </w:rPr>
            </w:pPr>
          </w:p>
        </w:tc>
        <w:tc>
          <w:tcPr>
            <w:tcW w:w="1134" w:type="dxa"/>
            <w:vMerge/>
            <w:vAlign w:val="center"/>
          </w:tcPr>
          <w:p w14:paraId="2B0CAAE5" w14:textId="77777777" w:rsidR="006A41E2" w:rsidRPr="00F5431B" w:rsidRDefault="006A41E2" w:rsidP="00E45665">
            <w:pPr>
              <w:pStyle w:val="Institutionquisigne"/>
              <w:spacing w:before="0"/>
              <w:jc w:val="center"/>
              <w:rPr>
                <w:noProof/>
              </w:rPr>
            </w:pPr>
          </w:p>
        </w:tc>
        <w:tc>
          <w:tcPr>
            <w:tcW w:w="1505" w:type="dxa"/>
            <w:vAlign w:val="center"/>
          </w:tcPr>
          <w:p w14:paraId="2004D1D5" w14:textId="77777777" w:rsidR="006A41E2" w:rsidRPr="00F5431B" w:rsidRDefault="006A41E2" w:rsidP="00E45665">
            <w:pPr>
              <w:pStyle w:val="Institutionquisigne"/>
              <w:spacing w:before="0"/>
              <w:jc w:val="center"/>
              <w:rPr>
                <w:i w:val="0"/>
                <w:noProof/>
                <w:sz w:val="20"/>
              </w:rPr>
            </w:pPr>
            <w:r w:rsidRPr="00F5431B">
              <w:rPr>
                <w:i w:val="0"/>
                <w:noProof/>
                <w:sz w:val="20"/>
                <w:szCs w:val="20"/>
              </w:rPr>
              <w:t>Output</w:t>
            </w:r>
          </w:p>
        </w:tc>
        <w:tc>
          <w:tcPr>
            <w:tcW w:w="1613" w:type="dxa"/>
            <w:vAlign w:val="center"/>
          </w:tcPr>
          <w:p w14:paraId="73F2AC85" w14:textId="77777777" w:rsidR="006A41E2" w:rsidRPr="00450B1B" w:rsidRDefault="006A41E2" w:rsidP="00E45665">
            <w:pPr>
              <w:pStyle w:val="Institutionquisigne"/>
              <w:spacing w:before="0"/>
              <w:jc w:val="center"/>
              <w:rPr>
                <w:i w:val="0"/>
                <w:noProof/>
                <w:sz w:val="20"/>
              </w:rPr>
            </w:pPr>
            <w:r w:rsidRPr="00F5431B">
              <w:rPr>
                <w:i w:val="0"/>
                <w:noProof/>
                <w:sz w:val="20"/>
              </w:rPr>
              <w:t>Result</w:t>
            </w:r>
          </w:p>
        </w:tc>
      </w:tr>
      <w:tr w:rsidR="006A41E2" w14:paraId="3114EAEF" w14:textId="77777777" w:rsidTr="00D61B53">
        <w:tc>
          <w:tcPr>
            <w:tcW w:w="879" w:type="dxa"/>
            <w:vAlign w:val="center"/>
          </w:tcPr>
          <w:p w14:paraId="5FD6634D" w14:textId="77777777" w:rsidR="006A41E2" w:rsidRPr="00364C8A" w:rsidRDefault="006A41E2" w:rsidP="00E45665">
            <w:pPr>
              <w:pStyle w:val="Institutionquisigne"/>
              <w:spacing w:before="0"/>
              <w:jc w:val="center"/>
              <w:rPr>
                <w:i w:val="0"/>
                <w:noProof/>
                <w:sz w:val="22"/>
              </w:rPr>
            </w:pPr>
          </w:p>
        </w:tc>
        <w:tc>
          <w:tcPr>
            <w:tcW w:w="992" w:type="dxa"/>
            <w:vAlign w:val="center"/>
          </w:tcPr>
          <w:p w14:paraId="3EAC6707" w14:textId="77777777" w:rsidR="006A41E2" w:rsidRDefault="006A41E2" w:rsidP="00E45665">
            <w:pPr>
              <w:pStyle w:val="Institutionquisigne"/>
              <w:spacing w:before="0"/>
              <w:jc w:val="center"/>
              <w:rPr>
                <w:noProof/>
              </w:rPr>
            </w:pPr>
          </w:p>
        </w:tc>
        <w:tc>
          <w:tcPr>
            <w:tcW w:w="992" w:type="dxa"/>
          </w:tcPr>
          <w:p w14:paraId="76F93A27" w14:textId="77777777" w:rsidR="006A41E2" w:rsidRDefault="006A41E2" w:rsidP="00E45665">
            <w:pPr>
              <w:pStyle w:val="Institutionquisigne"/>
              <w:spacing w:before="0"/>
              <w:jc w:val="center"/>
              <w:rPr>
                <w:noProof/>
              </w:rPr>
            </w:pPr>
          </w:p>
        </w:tc>
        <w:tc>
          <w:tcPr>
            <w:tcW w:w="1276" w:type="dxa"/>
          </w:tcPr>
          <w:p w14:paraId="5238D65D" w14:textId="77777777" w:rsidR="006A41E2" w:rsidRDefault="006A41E2" w:rsidP="00E45665">
            <w:pPr>
              <w:pStyle w:val="Institutionquisigne"/>
              <w:spacing w:before="0"/>
              <w:jc w:val="center"/>
              <w:rPr>
                <w:noProof/>
              </w:rPr>
            </w:pPr>
          </w:p>
        </w:tc>
        <w:tc>
          <w:tcPr>
            <w:tcW w:w="851" w:type="dxa"/>
          </w:tcPr>
          <w:p w14:paraId="698492B6" w14:textId="77777777" w:rsidR="006A41E2" w:rsidRDefault="006A41E2" w:rsidP="00E45665">
            <w:pPr>
              <w:pStyle w:val="Institutionquisigne"/>
              <w:spacing w:before="0"/>
              <w:jc w:val="center"/>
              <w:rPr>
                <w:noProof/>
              </w:rPr>
            </w:pPr>
          </w:p>
        </w:tc>
        <w:tc>
          <w:tcPr>
            <w:tcW w:w="1134" w:type="dxa"/>
          </w:tcPr>
          <w:p w14:paraId="1DFD43A9" w14:textId="77777777" w:rsidR="006A41E2" w:rsidRDefault="006A41E2" w:rsidP="00E45665">
            <w:pPr>
              <w:pStyle w:val="Institutionquisigne"/>
              <w:spacing w:before="0"/>
              <w:jc w:val="center"/>
              <w:rPr>
                <w:noProof/>
              </w:rPr>
            </w:pPr>
          </w:p>
        </w:tc>
        <w:tc>
          <w:tcPr>
            <w:tcW w:w="1505" w:type="dxa"/>
          </w:tcPr>
          <w:p w14:paraId="18196152" w14:textId="77777777" w:rsidR="006A41E2" w:rsidRPr="00450B1B" w:rsidRDefault="006A41E2" w:rsidP="00E45665">
            <w:pPr>
              <w:pStyle w:val="Institutionquisigne"/>
              <w:spacing w:before="0"/>
              <w:jc w:val="center"/>
              <w:rPr>
                <w:i w:val="0"/>
                <w:noProof/>
                <w:sz w:val="20"/>
              </w:rPr>
            </w:pPr>
          </w:p>
        </w:tc>
        <w:tc>
          <w:tcPr>
            <w:tcW w:w="1613" w:type="dxa"/>
          </w:tcPr>
          <w:p w14:paraId="20B73FBD" w14:textId="77777777" w:rsidR="006A41E2" w:rsidRPr="00450B1B" w:rsidRDefault="006A41E2" w:rsidP="00E45665">
            <w:pPr>
              <w:pStyle w:val="Institutionquisigne"/>
              <w:spacing w:before="0"/>
              <w:jc w:val="center"/>
              <w:rPr>
                <w:i w:val="0"/>
                <w:noProof/>
                <w:sz w:val="20"/>
              </w:rPr>
            </w:pPr>
          </w:p>
        </w:tc>
      </w:tr>
    </w:tbl>
    <w:p w14:paraId="0A85B249" w14:textId="6998FBB0" w:rsidR="006A41E2" w:rsidRPr="00C45A19" w:rsidRDefault="004C5B3C" w:rsidP="004C5B3C">
      <w:pPr>
        <w:pStyle w:val="ManualHeading2"/>
        <w:rPr>
          <w:noProof/>
        </w:rPr>
      </w:pPr>
      <w:r w:rsidRPr="004C5B3C">
        <w:t>1.6.</w:t>
      </w:r>
      <w:r w:rsidRPr="004C5B3C">
        <w:tab/>
      </w:r>
      <w:r w:rsidR="0001528B" w:rsidRPr="00D378BC">
        <w:rPr>
          <w:noProof/>
        </w:rPr>
        <w:t>Compliance with</w:t>
      </w:r>
      <w:r w:rsidR="006A41E2" w:rsidRPr="00D378BC">
        <w:rPr>
          <w:noProof/>
        </w:rPr>
        <w:t xml:space="preserve"> Article 13(7) of Regulation (EU) 2021/1149</w:t>
      </w:r>
    </w:p>
    <w:p w14:paraId="5B17165D" w14:textId="118EDCF2" w:rsidR="00E76930" w:rsidRPr="00BC54D3" w:rsidRDefault="00352119" w:rsidP="006A41E2">
      <w:pPr>
        <w:rPr>
          <w:noProof/>
          <w:sz w:val="22"/>
        </w:rPr>
      </w:pPr>
      <w:r w:rsidRPr="00BC54D3">
        <w:rPr>
          <w:noProof/>
          <w:sz w:val="22"/>
        </w:rPr>
        <w:t>R</w:t>
      </w:r>
      <w:r w:rsidR="00E76930" w:rsidRPr="00BC54D3">
        <w:rPr>
          <w:noProof/>
          <w:sz w:val="22"/>
        </w:rPr>
        <w:t xml:space="preserve">eport the </w:t>
      </w:r>
      <w:r w:rsidRPr="00BC54D3">
        <w:rPr>
          <w:noProof/>
          <w:sz w:val="22"/>
        </w:rPr>
        <w:t>total cumulative amount of incurred and paid expenditure for equipment, means of transport or the construction of security-relevant facilities pursuant to Article 13(7) of Regulation (EU) 2021/1149</w:t>
      </w:r>
      <w:r w:rsidR="00C66DD5" w:rsidRPr="00BC54D3">
        <w:rPr>
          <w:noProof/>
          <w:sz w:val="22"/>
        </w:rPr>
        <w:t>, as per the data to be stored electronically in line with field 142, Annex XVII of Regulation (EU) 2021/1060</w:t>
      </w:r>
      <w:r w:rsidRPr="00BC54D3">
        <w:rPr>
          <w:noProof/>
          <w:sz w:val="22"/>
        </w:rPr>
        <w:t>.</w:t>
      </w:r>
      <w:r w:rsidR="00E76930" w:rsidRPr="00BC54D3">
        <w:rPr>
          <w:noProof/>
          <w:sz w:val="22"/>
        </w:rPr>
        <w:t xml:space="preserve"> </w:t>
      </w:r>
    </w:p>
    <w:tbl>
      <w:tblPr>
        <w:tblStyle w:val="TableGrid"/>
        <w:tblW w:w="0" w:type="auto"/>
        <w:tblLook w:val="04A0" w:firstRow="1" w:lastRow="0" w:firstColumn="1" w:lastColumn="0" w:noHBand="0" w:noVBand="1"/>
      </w:tblPr>
      <w:tblGrid>
        <w:gridCol w:w="9289"/>
      </w:tblGrid>
      <w:tr w:rsidR="00352119" w:rsidRPr="00BC54D3" w14:paraId="17D1C819" w14:textId="77777777" w:rsidTr="00586750">
        <w:tc>
          <w:tcPr>
            <w:tcW w:w="9289" w:type="dxa"/>
          </w:tcPr>
          <w:p w14:paraId="5F256F51" w14:textId="77777777" w:rsidR="00352119" w:rsidRDefault="008A323A" w:rsidP="00F74718">
            <w:pPr>
              <w:pStyle w:val="Personnequisigne"/>
              <w:rPr>
                <w:noProof/>
                <w:sz w:val="22"/>
              </w:rPr>
            </w:pPr>
            <w:r>
              <w:rPr>
                <w:noProof/>
                <w:sz w:val="22"/>
              </w:rPr>
              <w:t>0</w:t>
            </w:r>
            <w:r w:rsidR="00F74718">
              <w:rPr>
                <w:noProof/>
                <w:sz w:val="22"/>
              </w:rPr>
              <w:t>,00</w:t>
            </w:r>
            <w:r>
              <w:rPr>
                <w:noProof/>
                <w:sz w:val="22"/>
              </w:rPr>
              <w:t xml:space="preserve"> </w:t>
            </w:r>
            <w:r w:rsidR="00F74718">
              <w:rPr>
                <w:noProof/>
                <w:sz w:val="22"/>
              </w:rPr>
              <w:t>E</w:t>
            </w:r>
            <w:r>
              <w:rPr>
                <w:noProof/>
                <w:sz w:val="22"/>
              </w:rPr>
              <w:t>uro</w:t>
            </w:r>
            <w:r w:rsidR="00F74718">
              <w:rPr>
                <w:noProof/>
                <w:sz w:val="22"/>
              </w:rPr>
              <w:t>.</w:t>
            </w:r>
          </w:p>
          <w:p w14:paraId="74FFE3C4" w14:textId="459779B8" w:rsidR="00F74718" w:rsidRPr="00F74718" w:rsidRDefault="00F74718" w:rsidP="00F5753A">
            <w:pPr>
              <w:pStyle w:val="Personnequisigne"/>
            </w:pPr>
          </w:p>
        </w:tc>
      </w:tr>
    </w:tbl>
    <w:p w14:paraId="46155DBB" w14:textId="6A116A07" w:rsidR="006A41E2" w:rsidRPr="00BC54D3" w:rsidRDefault="00BB3C0E" w:rsidP="009E5C5D">
      <w:pPr>
        <w:rPr>
          <w:noProof/>
          <w:sz w:val="22"/>
        </w:rPr>
      </w:pPr>
      <w:r w:rsidRPr="00BC54D3">
        <w:rPr>
          <w:noProof/>
          <w:sz w:val="22"/>
        </w:rPr>
        <w:t>C</w:t>
      </w:r>
      <w:r w:rsidR="00352119" w:rsidRPr="00BC54D3">
        <w:rPr>
          <w:noProof/>
          <w:sz w:val="22"/>
        </w:rPr>
        <w:t xml:space="preserve">onfirm that the total cumulative eligible cost of operations selected for support for equipment, means of transport or the construction of security-relevant facilities pursuant to Article 13(7) of Regulation (EU) 2021/1149 </w:t>
      </w:r>
      <w:r w:rsidR="008F5483">
        <w:rPr>
          <w:noProof/>
          <w:sz w:val="22"/>
        </w:rPr>
        <w:t xml:space="preserve">does not exceed 35% of the total allocation of the programme by the end of the accounting year, or explain the reasons for this. Additionally, </w:t>
      </w:r>
      <w:r w:rsidR="008F5483" w:rsidRPr="008F5483">
        <w:rPr>
          <w:noProof/>
          <w:sz w:val="22"/>
        </w:rPr>
        <w:t>if there is a risk that the threshold is exceeded by the end of the programming period, describe the measures envisaged to mitigate it</w:t>
      </w:r>
      <w:r w:rsidR="008F5483">
        <w:rPr>
          <w:noProof/>
          <w:sz w:val="22"/>
        </w:rPr>
        <w:t xml:space="preserve">, or the duly justified reasons to exceed the threshold. </w:t>
      </w:r>
    </w:p>
    <w:tbl>
      <w:tblPr>
        <w:tblStyle w:val="TableGrid"/>
        <w:tblW w:w="0" w:type="auto"/>
        <w:tblLook w:val="04A0" w:firstRow="1" w:lastRow="0" w:firstColumn="1" w:lastColumn="0" w:noHBand="0" w:noVBand="1"/>
      </w:tblPr>
      <w:tblGrid>
        <w:gridCol w:w="9289"/>
      </w:tblGrid>
      <w:tr w:rsidR="006A41E2" w14:paraId="3927EA21" w14:textId="77777777" w:rsidTr="00E45665">
        <w:tc>
          <w:tcPr>
            <w:tcW w:w="9289" w:type="dxa"/>
          </w:tcPr>
          <w:p w14:paraId="79CD231D" w14:textId="77777777" w:rsidR="006A41E2" w:rsidRDefault="008A323A" w:rsidP="00352119">
            <w:pPr>
              <w:pStyle w:val="Personnequisigne"/>
              <w:rPr>
                <w:noProof/>
                <w:sz w:val="22"/>
              </w:rPr>
            </w:pPr>
            <w:r>
              <w:rPr>
                <w:noProof/>
                <w:sz w:val="22"/>
              </w:rPr>
              <w:t>Not applicable</w:t>
            </w:r>
            <w:r w:rsidR="00F74718">
              <w:rPr>
                <w:noProof/>
                <w:sz w:val="22"/>
              </w:rPr>
              <w:t>.</w:t>
            </w:r>
          </w:p>
          <w:p w14:paraId="3CB9A627" w14:textId="615E4D6C" w:rsidR="00F74718" w:rsidRPr="00F74718" w:rsidRDefault="00F74718" w:rsidP="00F5753A">
            <w:pPr>
              <w:pStyle w:val="Personnequisigne"/>
            </w:pPr>
          </w:p>
        </w:tc>
      </w:tr>
    </w:tbl>
    <w:p w14:paraId="4B4DC429" w14:textId="73AA5C04" w:rsidR="006A41E2" w:rsidRPr="0073199A" w:rsidRDefault="004C5B3C" w:rsidP="004C5B3C">
      <w:pPr>
        <w:pStyle w:val="ManualHeading2"/>
        <w:rPr>
          <w:noProof/>
        </w:rPr>
      </w:pPr>
      <w:r w:rsidRPr="004C5B3C">
        <w:t>1.7.</w:t>
      </w:r>
      <w:r w:rsidRPr="004C5B3C">
        <w:tab/>
      </w:r>
      <w:r w:rsidR="006A41E2" w:rsidRPr="00D378BC">
        <w:rPr>
          <w:noProof/>
        </w:rPr>
        <w:t>Only in 2024</w:t>
      </w:r>
      <w:r w:rsidR="00CB565B" w:rsidRPr="00D378BC">
        <w:rPr>
          <w:noProof/>
        </w:rPr>
        <w:t>:</w:t>
      </w:r>
      <w:r w:rsidR="006A41E2" w:rsidRPr="00D378BC">
        <w:rPr>
          <w:noProof/>
        </w:rPr>
        <w:t xml:space="preserve"> </w:t>
      </w:r>
      <w:r w:rsidR="00CB565B" w:rsidRPr="00D378BC">
        <w:rPr>
          <w:noProof/>
        </w:rPr>
        <w:t>c</w:t>
      </w:r>
      <w:r w:rsidR="006A41E2" w:rsidRPr="00D378BC">
        <w:rPr>
          <w:noProof/>
        </w:rPr>
        <w:t>ontinuation of projects - Article 34(4)</w:t>
      </w:r>
      <w:r w:rsidR="004119DA" w:rsidRPr="00D378BC">
        <w:rPr>
          <w:noProof/>
        </w:rPr>
        <w:t xml:space="preserve">, </w:t>
      </w:r>
      <w:r w:rsidR="002F1935" w:rsidRPr="00D378BC">
        <w:rPr>
          <w:noProof/>
        </w:rPr>
        <w:t xml:space="preserve">point </w:t>
      </w:r>
      <w:r w:rsidR="004119DA" w:rsidRPr="00D378BC">
        <w:rPr>
          <w:noProof/>
        </w:rPr>
        <w:t>(</w:t>
      </w:r>
      <w:r w:rsidR="006A41E2" w:rsidRPr="00D378BC">
        <w:rPr>
          <w:noProof/>
        </w:rPr>
        <w:t>e)</w:t>
      </w:r>
      <w:r w:rsidR="002F1935" w:rsidRPr="00D378BC">
        <w:rPr>
          <w:noProof/>
        </w:rPr>
        <w:t>,</w:t>
      </w:r>
      <w:r w:rsidR="006A41E2" w:rsidRPr="00D378BC">
        <w:rPr>
          <w:noProof/>
        </w:rPr>
        <w:t xml:space="preserve"> of Regulation (EU) 2021/1149</w:t>
      </w:r>
    </w:p>
    <w:p w14:paraId="016B4060" w14:textId="77777777" w:rsidR="006A41E2" w:rsidRPr="006A41E2" w:rsidRDefault="0060652B" w:rsidP="006A41E2">
      <w:pPr>
        <w:rPr>
          <w:noProof/>
          <w:sz w:val="22"/>
        </w:rPr>
      </w:pPr>
      <w:r>
        <w:rPr>
          <w:noProof/>
          <w:sz w:val="22"/>
        </w:rPr>
        <w:t>R</w:t>
      </w:r>
      <w:r w:rsidR="006A41E2" w:rsidRPr="006A41E2">
        <w:rPr>
          <w:noProof/>
          <w:sz w:val="22"/>
        </w:rPr>
        <w:t>eport on any projects continued after 1</w:t>
      </w:r>
      <w:r w:rsidR="0071685A">
        <w:rPr>
          <w:noProof/>
          <w:sz w:val="22"/>
        </w:rPr>
        <w:t> </w:t>
      </w:r>
      <w:r w:rsidR="006A41E2" w:rsidRPr="006A41E2">
        <w:rPr>
          <w:noProof/>
          <w:sz w:val="22"/>
        </w:rPr>
        <w:t>January</w:t>
      </w:r>
      <w:r w:rsidR="0071685A">
        <w:rPr>
          <w:noProof/>
          <w:sz w:val="22"/>
        </w:rPr>
        <w:t> </w:t>
      </w:r>
      <w:r w:rsidR="006A41E2" w:rsidRPr="006A41E2">
        <w:rPr>
          <w:noProof/>
          <w:sz w:val="22"/>
        </w:rPr>
        <w:t xml:space="preserve">2021 </w:t>
      </w:r>
      <w:r w:rsidR="002A6B7D">
        <w:rPr>
          <w:noProof/>
          <w:sz w:val="22"/>
        </w:rPr>
        <w:t>that were</w:t>
      </w:r>
      <w:r w:rsidR="006A41E2" w:rsidRPr="006A41E2">
        <w:rPr>
          <w:noProof/>
          <w:sz w:val="22"/>
        </w:rPr>
        <w:t xml:space="preserve"> selected and started under Regulation (EU) No 513/2014</w:t>
      </w:r>
      <w:r w:rsidR="00C267A3">
        <w:rPr>
          <w:noProof/>
          <w:sz w:val="22"/>
        </w:rPr>
        <w:t xml:space="preserve"> </w:t>
      </w:r>
      <w:r w:rsidR="00C267A3" w:rsidRPr="00C267A3">
        <w:rPr>
          <w:noProof/>
          <w:sz w:val="22"/>
        </w:rPr>
        <w:t>of the European Parliament and of the Council</w:t>
      </w:r>
      <w:r w:rsidR="002229DC">
        <w:rPr>
          <w:rStyle w:val="FootnoteReference"/>
          <w:noProof/>
          <w:sz w:val="22"/>
        </w:rPr>
        <w:footnoteReference w:id="16"/>
      </w:r>
      <w:r w:rsidR="006A41E2" w:rsidRPr="006A41E2">
        <w:rPr>
          <w:noProof/>
          <w:sz w:val="22"/>
        </w:rPr>
        <w:t>, in accordance with Regulation (EU) No 514/2014</w:t>
      </w:r>
      <w:r w:rsidR="00C267A3">
        <w:rPr>
          <w:noProof/>
          <w:sz w:val="22"/>
        </w:rPr>
        <w:t xml:space="preserve"> </w:t>
      </w:r>
      <w:r w:rsidR="00C267A3" w:rsidRPr="00C267A3">
        <w:rPr>
          <w:noProof/>
          <w:sz w:val="22"/>
        </w:rPr>
        <w:t>of the European Parliament and of the Council</w:t>
      </w:r>
      <w:r w:rsidR="0059250C">
        <w:rPr>
          <w:rStyle w:val="FootnoteReference"/>
          <w:noProof/>
          <w:sz w:val="22"/>
        </w:rPr>
        <w:footnoteReference w:id="17"/>
      </w:r>
      <w:r w:rsidR="006A41E2" w:rsidRPr="006A41E2">
        <w:rPr>
          <w:noProof/>
          <w:sz w:val="22"/>
        </w:rPr>
        <w:t>.</w:t>
      </w:r>
    </w:p>
    <w:tbl>
      <w:tblPr>
        <w:tblStyle w:val="TableGrid"/>
        <w:tblW w:w="0" w:type="auto"/>
        <w:tblLook w:val="04A0" w:firstRow="1" w:lastRow="0" w:firstColumn="1" w:lastColumn="0" w:noHBand="0" w:noVBand="1"/>
      </w:tblPr>
      <w:tblGrid>
        <w:gridCol w:w="9289"/>
      </w:tblGrid>
      <w:tr w:rsidR="006A41E2" w14:paraId="03C77697" w14:textId="77777777" w:rsidTr="00E45665">
        <w:tc>
          <w:tcPr>
            <w:tcW w:w="9289" w:type="dxa"/>
          </w:tcPr>
          <w:p w14:paraId="064735F1" w14:textId="77777777" w:rsidR="00147182" w:rsidRDefault="00147182" w:rsidP="00147182">
            <w:pPr>
              <w:pStyle w:val="Personnequisigne"/>
              <w:rPr>
                <w:noProof/>
                <w:sz w:val="22"/>
              </w:rPr>
            </w:pPr>
            <w:r>
              <w:rPr>
                <w:noProof/>
                <w:sz w:val="22"/>
              </w:rPr>
              <w:t>Not applicable</w:t>
            </w:r>
            <w:r w:rsidR="00A91065">
              <w:rPr>
                <w:noProof/>
                <w:sz w:val="22"/>
              </w:rPr>
              <w:t>.</w:t>
            </w:r>
          </w:p>
          <w:p w14:paraId="0A91506F" w14:textId="4DF68B34" w:rsidR="00A91065" w:rsidRPr="00A91065" w:rsidRDefault="00A91065" w:rsidP="00F5753A">
            <w:pPr>
              <w:pStyle w:val="Personnequisigne"/>
            </w:pPr>
          </w:p>
        </w:tc>
      </w:tr>
    </w:tbl>
    <w:p w14:paraId="161D29AE" w14:textId="509EB59E" w:rsidR="006A41E2" w:rsidRPr="006A41E2" w:rsidRDefault="004C5B3C" w:rsidP="004C5B3C">
      <w:pPr>
        <w:pStyle w:val="ManualHeading1"/>
        <w:rPr>
          <w:noProof/>
        </w:rPr>
      </w:pPr>
      <w:r w:rsidRPr="004C5B3C">
        <w:t>2.</w:t>
      </w:r>
      <w:r w:rsidRPr="004C5B3C">
        <w:tab/>
      </w:r>
      <w:r w:rsidR="006A41E2" w:rsidRPr="006A41E2">
        <w:rPr>
          <w:noProof/>
        </w:rPr>
        <w:t xml:space="preserve">Complementarity </w:t>
      </w:r>
    </w:p>
    <w:p w14:paraId="77D4B77C" w14:textId="772B3BB6" w:rsidR="006A41E2" w:rsidRPr="00450B1B" w:rsidRDefault="004C5B3C" w:rsidP="004C5B3C">
      <w:pPr>
        <w:pStyle w:val="ManualHeading2"/>
        <w:rPr>
          <w:noProof/>
        </w:rPr>
      </w:pPr>
      <w:r w:rsidRPr="004C5B3C">
        <w:t>2.1.</w:t>
      </w:r>
      <w:r w:rsidRPr="004C5B3C">
        <w:tab/>
      </w:r>
      <w:r w:rsidR="006A41E2" w:rsidRPr="00620FD9">
        <w:rPr>
          <w:noProof/>
        </w:rPr>
        <w:t xml:space="preserve">Complementarity with other </w:t>
      </w:r>
      <w:r w:rsidR="00554DAE" w:rsidRPr="00620FD9">
        <w:rPr>
          <w:noProof/>
        </w:rPr>
        <w:t xml:space="preserve">Union </w:t>
      </w:r>
      <w:r w:rsidR="006A41E2" w:rsidRPr="00620FD9">
        <w:rPr>
          <w:noProof/>
        </w:rPr>
        <w:t>funds – Article 30(2)</w:t>
      </w:r>
      <w:r w:rsidR="002F1935" w:rsidRPr="00620FD9">
        <w:rPr>
          <w:noProof/>
        </w:rPr>
        <w:t>,</w:t>
      </w:r>
      <w:r w:rsidR="006A41E2" w:rsidRPr="00620FD9">
        <w:rPr>
          <w:noProof/>
        </w:rPr>
        <w:t xml:space="preserve"> point </w:t>
      </w:r>
      <w:r w:rsidR="002F1935" w:rsidRPr="00620FD9">
        <w:rPr>
          <w:noProof/>
        </w:rPr>
        <w:t>(</w:t>
      </w:r>
      <w:r w:rsidR="006A41E2" w:rsidRPr="00620FD9">
        <w:rPr>
          <w:noProof/>
        </w:rPr>
        <w:t>c</w:t>
      </w:r>
      <w:r w:rsidR="002F1935" w:rsidRPr="00620FD9">
        <w:rPr>
          <w:noProof/>
        </w:rPr>
        <w:t>),</w:t>
      </w:r>
      <w:r w:rsidR="006A41E2" w:rsidRPr="00620FD9">
        <w:rPr>
          <w:noProof/>
        </w:rPr>
        <w:t xml:space="preserve"> of Regulation (EU) 2021/1149</w:t>
      </w:r>
    </w:p>
    <w:p w14:paraId="36900C3E" w14:textId="615E1980" w:rsidR="004630E2" w:rsidRDefault="0060652B" w:rsidP="006A41E2">
      <w:pPr>
        <w:rPr>
          <w:noProof/>
          <w:sz w:val="22"/>
        </w:rPr>
      </w:pPr>
      <w:r>
        <w:rPr>
          <w:noProof/>
          <w:sz w:val="22"/>
        </w:rPr>
        <w:t>D</w:t>
      </w:r>
      <w:r w:rsidR="006A41E2" w:rsidRPr="008B175E">
        <w:rPr>
          <w:noProof/>
          <w:sz w:val="22"/>
        </w:rPr>
        <w:t>escribe the complementarity and</w:t>
      </w:r>
      <w:r w:rsidR="003F695F">
        <w:rPr>
          <w:noProof/>
          <w:sz w:val="22"/>
        </w:rPr>
        <w:t>, if relevant,</w:t>
      </w:r>
      <w:r w:rsidR="006A41E2" w:rsidRPr="008B175E">
        <w:rPr>
          <w:noProof/>
          <w:sz w:val="22"/>
        </w:rPr>
        <w:t xml:space="preserve"> synergies between the actions supported </w:t>
      </w:r>
      <w:r w:rsidR="00153209">
        <w:rPr>
          <w:noProof/>
          <w:sz w:val="22"/>
        </w:rPr>
        <w:t>by</w:t>
      </w:r>
      <w:r w:rsidR="00153209" w:rsidRPr="008B175E">
        <w:rPr>
          <w:noProof/>
          <w:sz w:val="22"/>
        </w:rPr>
        <w:t xml:space="preserve"> </w:t>
      </w:r>
      <w:r w:rsidR="006A41E2" w:rsidRPr="008B175E">
        <w:rPr>
          <w:noProof/>
          <w:sz w:val="22"/>
        </w:rPr>
        <w:t xml:space="preserve">the </w:t>
      </w:r>
      <w:r w:rsidR="00D0691F">
        <w:rPr>
          <w:noProof/>
          <w:sz w:val="22"/>
        </w:rPr>
        <w:t>f</w:t>
      </w:r>
      <w:r w:rsidR="006A41E2" w:rsidRPr="008B175E">
        <w:rPr>
          <w:noProof/>
          <w:sz w:val="22"/>
        </w:rPr>
        <w:t xml:space="preserve">und and the support provided by other </w:t>
      </w:r>
      <w:r w:rsidR="00554DAE">
        <w:rPr>
          <w:noProof/>
          <w:sz w:val="22"/>
        </w:rPr>
        <w:t>Union</w:t>
      </w:r>
      <w:r w:rsidR="00554DAE" w:rsidRPr="008B175E">
        <w:rPr>
          <w:noProof/>
          <w:sz w:val="22"/>
        </w:rPr>
        <w:t xml:space="preserve"> </w:t>
      </w:r>
      <w:r w:rsidR="006A41E2" w:rsidRPr="008B175E">
        <w:rPr>
          <w:noProof/>
          <w:sz w:val="22"/>
        </w:rPr>
        <w:t xml:space="preserve">funds in the field of security, </w:t>
      </w:r>
      <w:r w:rsidR="009E5C5D">
        <w:rPr>
          <w:noProof/>
          <w:sz w:val="22"/>
        </w:rPr>
        <w:t>for example</w:t>
      </w:r>
      <w:r w:rsidR="004630E2">
        <w:rPr>
          <w:noProof/>
          <w:sz w:val="22"/>
        </w:rPr>
        <w:t>:</w:t>
      </w:r>
    </w:p>
    <w:p w14:paraId="4F326FE1" w14:textId="77777777" w:rsidR="004630E2" w:rsidRDefault="006A41E2" w:rsidP="00912E10">
      <w:pPr>
        <w:pStyle w:val="Tiret0"/>
        <w:numPr>
          <w:ilvl w:val="0"/>
          <w:numId w:val="9"/>
        </w:numPr>
        <w:rPr>
          <w:noProof/>
          <w:sz w:val="22"/>
        </w:rPr>
      </w:pPr>
      <w:r w:rsidRPr="008B175E">
        <w:rPr>
          <w:noProof/>
          <w:sz w:val="22"/>
        </w:rPr>
        <w:t>the Asylum, Migration and Integration Fund (AMIF) and the Integrated Border Management Fund (IBMF</w:t>
      </w:r>
      <w:r w:rsidR="004630E2">
        <w:rPr>
          <w:noProof/>
          <w:sz w:val="22"/>
        </w:rPr>
        <w:t>)</w:t>
      </w:r>
      <w:r w:rsidRPr="00D0691F">
        <w:rPr>
          <w:noProof/>
          <w:sz w:val="22"/>
        </w:rPr>
        <w:t>,</w:t>
      </w:r>
      <w:r w:rsidRPr="008B175E">
        <w:rPr>
          <w:noProof/>
          <w:sz w:val="22"/>
        </w:rPr>
        <w:t xml:space="preserve"> including the Border Management and Visa Instrument </w:t>
      </w:r>
      <w:r w:rsidR="00F3358C" w:rsidRPr="00D0691F">
        <w:rPr>
          <w:noProof/>
          <w:sz w:val="22"/>
        </w:rPr>
        <w:t>(</w:t>
      </w:r>
      <w:r w:rsidRPr="008B175E">
        <w:rPr>
          <w:noProof/>
          <w:sz w:val="22"/>
        </w:rPr>
        <w:t>BMVI</w:t>
      </w:r>
      <w:r w:rsidR="00F3358C" w:rsidRPr="00D0691F">
        <w:rPr>
          <w:noProof/>
          <w:sz w:val="22"/>
        </w:rPr>
        <w:t>)</w:t>
      </w:r>
      <w:r w:rsidRPr="008B175E">
        <w:rPr>
          <w:noProof/>
          <w:sz w:val="22"/>
        </w:rPr>
        <w:t xml:space="preserve"> and the Instrument for Financial Support for Customs Control Equipment</w:t>
      </w:r>
      <w:r w:rsidR="004630E2">
        <w:rPr>
          <w:noProof/>
          <w:sz w:val="22"/>
        </w:rPr>
        <w:t>;</w:t>
      </w:r>
    </w:p>
    <w:p w14:paraId="5CFADDE8" w14:textId="77777777" w:rsidR="004630E2" w:rsidRDefault="006A41E2" w:rsidP="00912E10">
      <w:pPr>
        <w:pStyle w:val="Tiret0"/>
        <w:numPr>
          <w:ilvl w:val="0"/>
          <w:numId w:val="9"/>
        </w:numPr>
        <w:rPr>
          <w:noProof/>
          <w:sz w:val="22"/>
        </w:rPr>
      </w:pPr>
      <w:r w:rsidRPr="008B175E">
        <w:rPr>
          <w:noProof/>
          <w:sz w:val="22"/>
        </w:rPr>
        <w:t xml:space="preserve">the </w:t>
      </w:r>
      <w:r w:rsidR="00216D79">
        <w:rPr>
          <w:noProof/>
          <w:sz w:val="22"/>
        </w:rPr>
        <w:t>c</w:t>
      </w:r>
      <w:r w:rsidRPr="008B175E">
        <w:rPr>
          <w:noProof/>
          <w:sz w:val="22"/>
        </w:rPr>
        <w:t>ohesion funds</w:t>
      </w:r>
      <w:r w:rsidR="004630E2">
        <w:rPr>
          <w:noProof/>
          <w:sz w:val="22"/>
        </w:rPr>
        <w:t>,</w:t>
      </w:r>
      <w:r w:rsidRPr="008B175E">
        <w:rPr>
          <w:noProof/>
          <w:sz w:val="22"/>
        </w:rPr>
        <w:t xml:space="preserve"> especially </w:t>
      </w:r>
      <w:r w:rsidR="004630E2">
        <w:rPr>
          <w:noProof/>
          <w:sz w:val="22"/>
        </w:rPr>
        <w:t>the European Regional Development Fund (</w:t>
      </w:r>
      <w:r w:rsidRPr="008B175E">
        <w:rPr>
          <w:noProof/>
          <w:sz w:val="22"/>
        </w:rPr>
        <w:t>ERDF</w:t>
      </w:r>
      <w:r w:rsidR="004630E2">
        <w:rPr>
          <w:noProof/>
          <w:sz w:val="22"/>
        </w:rPr>
        <w:t>);</w:t>
      </w:r>
    </w:p>
    <w:p w14:paraId="1F1FFEF3" w14:textId="77777777" w:rsidR="004630E2" w:rsidRDefault="006A41E2" w:rsidP="00912E10">
      <w:pPr>
        <w:pStyle w:val="Tiret0"/>
        <w:numPr>
          <w:ilvl w:val="0"/>
          <w:numId w:val="9"/>
        </w:numPr>
        <w:rPr>
          <w:noProof/>
          <w:sz w:val="22"/>
        </w:rPr>
      </w:pPr>
      <w:r w:rsidRPr="008B175E">
        <w:rPr>
          <w:noProof/>
          <w:sz w:val="22"/>
        </w:rPr>
        <w:t>the security research part of Horizon Europe</w:t>
      </w:r>
      <w:r w:rsidR="004630E2">
        <w:rPr>
          <w:noProof/>
          <w:sz w:val="22"/>
        </w:rPr>
        <w:t>;</w:t>
      </w:r>
    </w:p>
    <w:p w14:paraId="298478CF" w14:textId="77777777" w:rsidR="004630E2" w:rsidRDefault="006A41E2" w:rsidP="00912E10">
      <w:pPr>
        <w:pStyle w:val="Tiret0"/>
        <w:numPr>
          <w:ilvl w:val="0"/>
          <w:numId w:val="9"/>
        </w:numPr>
        <w:rPr>
          <w:noProof/>
          <w:sz w:val="22"/>
        </w:rPr>
      </w:pPr>
      <w:r w:rsidRPr="008B175E">
        <w:rPr>
          <w:noProof/>
          <w:sz w:val="22"/>
        </w:rPr>
        <w:t xml:space="preserve">the Citizens, Equality, Rights and Values </w:t>
      </w:r>
      <w:r w:rsidR="004630E2">
        <w:rPr>
          <w:noProof/>
          <w:sz w:val="22"/>
        </w:rPr>
        <w:t>p</w:t>
      </w:r>
      <w:r w:rsidRPr="00D0691F">
        <w:rPr>
          <w:noProof/>
          <w:sz w:val="22"/>
        </w:rPr>
        <w:t>rogramme</w:t>
      </w:r>
      <w:r w:rsidR="006C5C3B" w:rsidRPr="00D0691F">
        <w:rPr>
          <w:noProof/>
          <w:sz w:val="22"/>
        </w:rPr>
        <w:t xml:space="preserve"> </w:t>
      </w:r>
      <w:r w:rsidRPr="008B175E">
        <w:rPr>
          <w:noProof/>
          <w:sz w:val="22"/>
        </w:rPr>
        <w:t xml:space="preserve">and </w:t>
      </w:r>
      <w:r w:rsidR="004630E2">
        <w:rPr>
          <w:noProof/>
          <w:sz w:val="22"/>
        </w:rPr>
        <w:t xml:space="preserve">the </w:t>
      </w:r>
      <w:r w:rsidRPr="008B175E">
        <w:rPr>
          <w:noProof/>
          <w:sz w:val="22"/>
        </w:rPr>
        <w:t xml:space="preserve">Justice </w:t>
      </w:r>
      <w:r w:rsidR="004630E2">
        <w:rPr>
          <w:noProof/>
          <w:sz w:val="22"/>
        </w:rPr>
        <w:t>p</w:t>
      </w:r>
      <w:r w:rsidRPr="00D0691F">
        <w:rPr>
          <w:noProof/>
          <w:sz w:val="22"/>
        </w:rPr>
        <w:t>rogramme</w:t>
      </w:r>
      <w:r w:rsidR="004630E2">
        <w:rPr>
          <w:noProof/>
          <w:sz w:val="22"/>
        </w:rPr>
        <w:t>;</w:t>
      </w:r>
    </w:p>
    <w:p w14:paraId="5A1B7071" w14:textId="77777777" w:rsidR="004630E2" w:rsidRDefault="006A41E2" w:rsidP="00912E10">
      <w:pPr>
        <w:pStyle w:val="Tiret0"/>
        <w:numPr>
          <w:ilvl w:val="0"/>
          <w:numId w:val="9"/>
        </w:numPr>
        <w:rPr>
          <w:noProof/>
          <w:sz w:val="22"/>
        </w:rPr>
      </w:pPr>
      <w:r w:rsidRPr="008B175E">
        <w:rPr>
          <w:noProof/>
          <w:sz w:val="22"/>
        </w:rPr>
        <w:t xml:space="preserve">the Digital Europe </w:t>
      </w:r>
      <w:r w:rsidR="004630E2">
        <w:rPr>
          <w:noProof/>
          <w:sz w:val="22"/>
        </w:rPr>
        <w:t>p</w:t>
      </w:r>
      <w:r w:rsidRPr="00D0691F">
        <w:rPr>
          <w:noProof/>
          <w:sz w:val="22"/>
        </w:rPr>
        <w:t>rogramme</w:t>
      </w:r>
      <w:r w:rsidR="004630E2">
        <w:rPr>
          <w:noProof/>
          <w:sz w:val="22"/>
        </w:rPr>
        <w:t>;</w:t>
      </w:r>
    </w:p>
    <w:p w14:paraId="69B597AF" w14:textId="77777777" w:rsidR="004630E2" w:rsidRDefault="006A41E2" w:rsidP="00912E10">
      <w:pPr>
        <w:pStyle w:val="Tiret0"/>
        <w:numPr>
          <w:ilvl w:val="0"/>
          <w:numId w:val="9"/>
        </w:numPr>
        <w:rPr>
          <w:noProof/>
          <w:sz w:val="22"/>
        </w:rPr>
      </w:pPr>
      <w:r w:rsidRPr="008B175E">
        <w:rPr>
          <w:noProof/>
          <w:sz w:val="22"/>
        </w:rPr>
        <w:t xml:space="preserve">the InvestEU </w:t>
      </w:r>
      <w:r w:rsidR="004630E2">
        <w:rPr>
          <w:noProof/>
          <w:sz w:val="22"/>
        </w:rPr>
        <w:t>p</w:t>
      </w:r>
      <w:r w:rsidRPr="00D0691F">
        <w:rPr>
          <w:noProof/>
          <w:sz w:val="22"/>
        </w:rPr>
        <w:t>rogramme</w:t>
      </w:r>
      <w:r w:rsidR="004630E2">
        <w:rPr>
          <w:noProof/>
          <w:sz w:val="22"/>
        </w:rPr>
        <w:t>;</w:t>
      </w:r>
    </w:p>
    <w:p w14:paraId="7688FF58" w14:textId="77777777" w:rsidR="004630E2" w:rsidRDefault="006A41E2" w:rsidP="00912E10">
      <w:pPr>
        <w:pStyle w:val="Tiret0"/>
        <w:numPr>
          <w:ilvl w:val="0"/>
          <w:numId w:val="9"/>
        </w:numPr>
        <w:rPr>
          <w:noProof/>
          <w:sz w:val="22"/>
        </w:rPr>
      </w:pPr>
      <w:r w:rsidRPr="008B175E">
        <w:rPr>
          <w:noProof/>
          <w:sz w:val="22"/>
        </w:rPr>
        <w:t>t</w:t>
      </w:r>
      <w:r w:rsidRPr="00BE1132">
        <w:rPr>
          <w:noProof/>
          <w:sz w:val="22"/>
        </w:rPr>
        <w:t>he Technical Support Instrument</w:t>
      </w:r>
      <w:r w:rsidR="004630E2">
        <w:rPr>
          <w:noProof/>
          <w:sz w:val="22"/>
        </w:rPr>
        <w:t>;</w:t>
      </w:r>
    </w:p>
    <w:p w14:paraId="00B8CCF5" w14:textId="2AEE8C8C" w:rsidR="004630E2" w:rsidRDefault="006A41E2" w:rsidP="00912E10">
      <w:pPr>
        <w:pStyle w:val="Tiret0"/>
        <w:numPr>
          <w:ilvl w:val="0"/>
          <w:numId w:val="9"/>
        </w:numPr>
        <w:rPr>
          <w:noProof/>
          <w:sz w:val="22"/>
        </w:rPr>
      </w:pPr>
      <w:r w:rsidRPr="008B175E">
        <w:rPr>
          <w:noProof/>
          <w:sz w:val="22"/>
        </w:rPr>
        <w:t xml:space="preserve">the </w:t>
      </w:r>
      <w:r w:rsidR="004F5C72" w:rsidRPr="008B175E">
        <w:rPr>
          <w:noProof/>
          <w:sz w:val="22"/>
        </w:rPr>
        <w:t>resc</w:t>
      </w:r>
      <w:r w:rsidR="004F5C72">
        <w:rPr>
          <w:noProof/>
          <w:sz w:val="22"/>
        </w:rPr>
        <w:t>EU</w:t>
      </w:r>
      <w:r w:rsidR="004F5C72" w:rsidRPr="008B175E">
        <w:rPr>
          <w:noProof/>
          <w:sz w:val="22"/>
        </w:rPr>
        <w:t xml:space="preserve"> </w:t>
      </w:r>
      <w:r w:rsidRPr="008B175E">
        <w:rPr>
          <w:noProof/>
          <w:sz w:val="22"/>
        </w:rPr>
        <w:t>reserve</w:t>
      </w:r>
      <w:r w:rsidR="004630E2">
        <w:rPr>
          <w:noProof/>
          <w:sz w:val="22"/>
        </w:rPr>
        <w:t>;</w:t>
      </w:r>
    </w:p>
    <w:p w14:paraId="4C9B7B64" w14:textId="77777777" w:rsidR="004630E2" w:rsidRDefault="004630E2" w:rsidP="00912E10">
      <w:pPr>
        <w:pStyle w:val="Tiret0"/>
        <w:numPr>
          <w:ilvl w:val="0"/>
          <w:numId w:val="9"/>
        </w:numPr>
        <w:rPr>
          <w:noProof/>
          <w:sz w:val="22"/>
        </w:rPr>
      </w:pPr>
      <w:r>
        <w:rPr>
          <w:noProof/>
          <w:sz w:val="22"/>
        </w:rPr>
        <w:t xml:space="preserve">the </w:t>
      </w:r>
      <w:r w:rsidRPr="004630E2">
        <w:rPr>
          <w:noProof/>
          <w:sz w:val="22"/>
        </w:rPr>
        <w:t>Neighbourhood, Development and International Cooperation Instrument</w:t>
      </w:r>
      <w:r>
        <w:rPr>
          <w:noProof/>
          <w:sz w:val="22"/>
        </w:rPr>
        <w:t xml:space="preserve"> (</w:t>
      </w:r>
      <w:r w:rsidR="006A41E2" w:rsidRPr="008B175E">
        <w:rPr>
          <w:noProof/>
          <w:sz w:val="22"/>
        </w:rPr>
        <w:t>ND</w:t>
      </w:r>
      <w:r w:rsidR="00277AF0">
        <w:rPr>
          <w:noProof/>
          <w:sz w:val="22"/>
        </w:rPr>
        <w:t>I</w:t>
      </w:r>
      <w:r w:rsidR="006A41E2" w:rsidRPr="008B175E">
        <w:rPr>
          <w:noProof/>
          <w:sz w:val="22"/>
        </w:rPr>
        <w:t>CI</w:t>
      </w:r>
      <w:r>
        <w:rPr>
          <w:noProof/>
          <w:sz w:val="22"/>
        </w:rPr>
        <w:t>) – Global Europe;</w:t>
      </w:r>
      <w:r w:rsidR="00093D5B">
        <w:rPr>
          <w:noProof/>
          <w:sz w:val="22"/>
        </w:rPr>
        <w:t xml:space="preserve"> and</w:t>
      </w:r>
    </w:p>
    <w:p w14:paraId="03D98180" w14:textId="77777777" w:rsidR="004630E2" w:rsidRPr="00093D5B" w:rsidRDefault="004630E2" w:rsidP="00912E10">
      <w:pPr>
        <w:pStyle w:val="Tiret0"/>
        <w:numPr>
          <w:ilvl w:val="0"/>
          <w:numId w:val="9"/>
        </w:numPr>
        <w:rPr>
          <w:noProof/>
          <w:sz w:val="22"/>
        </w:rPr>
      </w:pPr>
      <w:r>
        <w:rPr>
          <w:noProof/>
          <w:sz w:val="22"/>
        </w:rPr>
        <w:t>the</w:t>
      </w:r>
      <w:r w:rsidR="00D0691F">
        <w:rPr>
          <w:noProof/>
          <w:sz w:val="22"/>
        </w:rPr>
        <w:t xml:space="preserve"> Instrument for Pre-Accession Assistance</w:t>
      </w:r>
      <w:r>
        <w:rPr>
          <w:noProof/>
          <w:sz w:val="22"/>
        </w:rPr>
        <w:t xml:space="preserve"> </w:t>
      </w:r>
      <w:r w:rsidR="00D0691F">
        <w:rPr>
          <w:noProof/>
          <w:sz w:val="22"/>
        </w:rPr>
        <w:t>(</w:t>
      </w:r>
      <w:r w:rsidR="006A41E2" w:rsidRPr="008B175E">
        <w:rPr>
          <w:noProof/>
          <w:sz w:val="22"/>
        </w:rPr>
        <w:t>IPA</w:t>
      </w:r>
      <w:r w:rsidR="00D0691F">
        <w:rPr>
          <w:noProof/>
          <w:sz w:val="22"/>
        </w:rPr>
        <w:t>)</w:t>
      </w:r>
      <w:r w:rsidR="006A41E2" w:rsidRPr="00D0691F">
        <w:rPr>
          <w:noProof/>
          <w:sz w:val="22"/>
        </w:rPr>
        <w:t xml:space="preserve">. </w:t>
      </w:r>
    </w:p>
    <w:p w14:paraId="66615CC6" w14:textId="77777777" w:rsidR="006A41E2" w:rsidRPr="006A41E2" w:rsidRDefault="0060652B" w:rsidP="006A41E2">
      <w:pPr>
        <w:rPr>
          <w:noProof/>
          <w:sz w:val="22"/>
        </w:rPr>
      </w:pPr>
      <w:r>
        <w:rPr>
          <w:noProof/>
          <w:sz w:val="22"/>
        </w:rPr>
        <w:t>P</w:t>
      </w:r>
      <w:r w:rsidR="006A41E2" w:rsidRPr="008B175E">
        <w:rPr>
          <w:noProof/>
          <w:sz w:val="22"/>
        </w:rPr>
        <w:t>ay specific attention to:</w:t>
      </w:r>
    </w:p>
    <w:p w14:paraId="403109BF" w14:textId="41F50CEC" w:rsidR="006A41E2" w:rsidRPr="006A41E2" w:rsidRDefault="007261C3" w:rsidP="00912E10">
      <w:pPr>
        <w:pStyle w:val="Tiret0"/>
        <w:numPr>
          <w:ilvl w:val="0"/>
          <w:numId w:val="12"/>
        </w:numPr>
        <w:rPr>
          <w:noProof/>
          <w:sz w:val="22"/>
        </w:rPr>
      </w:pPr>
      <w:r w:rsidRPr="0037290B">
        <w:rPr>
          <w:noProof/>
          <w:sz w:val="22"/>
        </w:rPr>
        <w:t xml:space="preserve">complementarity with </w:t>
      </w:r>
      <w:r w:rsidR="00554DAE">
        <w:rPr>
          <w:noProof/>
          <w:sz w:val="22"/>
        </w:rPr>
        <w:t>Union’s</w:t>
      </w:r>
      <w:r w:rsidR="00554DAE" w:rsidRPr="0037290B">
        <w:rPr>
          <w:noProof/>
          <w:sz w:val="22"/>
        </w:rPr>
        <w:t xml:space="preserve"> </w:t>
      </w:r>
      <w:r w:rsidRPr="0037290B">
        <w:rPr>
          <w:noProof/>
          <w:sz w:val="22"/>
        </w:rPr>
        <w:t xml:space="preserve">external </w:t>
      </w:r>
      <w:r>
        <w:rPr>
          <w:noProof/>
          <w:sz w:val="22"/>
        </w:rPr>
        <w:t xml:space="preserve">financing </w:t>
      </w:r>
      <w:r w:rsidRPr="0037290B">
        <w:rPr>
          <w:noProof/>
          <w:sz w:val="22"/>
        </w:rPr>
        <w:t xml:space="preserve">instruments for actions taken in or in relation to third countries, underlining the </w:t>
      </w:r>
      <w:r>
        <w:rPr>
          <w:noProof/>
          <w:sz w:val="22"/>
        </w:rPr>
        <w:t>aspects that are consistent</w:t>
      </w:r>
      <w:r w:rsidRPr="0037290B">
        <w:rPr>
          <w:noProof/>
          <w:sz w:val="22"/>
        </w:rPr>
        <w:t xml:space="preserve"> with the principles and general objectives of the </w:t>
      </w:r>
      <w:r w:rsidR="00554DAE">
        <w:rPr>
          <w:noProof/>
          <w:sz w:val="22"/>
        </w:rPr>
        <w:t>Union</w:t>
      </w:r>
      <w:r w:rsidR="00554DAE" w:rsidRPr="0037290B">
        <w:rPr>
          <w:noProof/>
          <w:sz w:val="22"/>
        </w:rPr>
        <w:t xml:space="preserve">’s </w:t>
      </w:r>
      <w:r w:rsidRPr="0037290B">
        <w:rPr>
          <w:noProof/>
          <w:sz w:val="22"/>
        </w:rPr>
        <w:t>external policy</w:t>
      </w:r>
      <w:r>
        <w:rPr>
          <w:noProof/>
          <w:sz w:val="22"/>
        </w:rPr>
        <w:t xml:space="preserve">; </w:t>
      </w:r>
      <w:r w:rsidR="0060652B">
        <w:rPr>
          <w:noProof/>
          <w:sz w:val="22"/>
        </w:rPr>
        <w:t>and</w:t>
      </w:r>
    </w:p>
    <w:p w14:paraId="344FBADB" w14:textId="290F1D4B" w:rsidR="006A41E2" w:rsidRDefault="006A41E2" w:rsidP="00912E10">
      <w:pPr>
        <w:pStyle w:val="Tiret0"/>
        <w:numPr>
          <w:ilvl w:val="0"/>
          <w:numId w:val="12"/>
        </w:numPr>
        <w:rPr>
          <w:noProof/>
          <w:sz w:val="22"/>
        </w:rPr>
      </w:pPr>
      <w:r w:rsidRPr="006A41E2">
        <w:rPr>
          <w:noProof/>
          <w:sz w:val="22"/>
        </w:rPr>
        <w:t xml:space="preserve">the use </w:t>
      </w:r>
      <w:r w:rsidR="00397A63">
        <w:rPr>
          <w:noProof/>
          <w:sz w:val="22"/>
        </w:rPr>
        <w:t>of enabling mechanisms, such as o</w:t>
      </w:r>
      <w:r w:rsidRPr="006A41E2">
        <w:rPr>
          <w:noProof/>
          <w:sz w:val="22"/>
        </w:rPr>
        <w:t>rganisational and procedural arrangements that help achieve complementarities,</w:t>
      </w:r>
      <w:r w:rsidR="00397A63">
        <w:rPr>
          <w:noProof/>
          <w:sz w:val="22"/>
        </w:rPr>
        <w:t xml:space="preserve"> and, if relevant, synergies,</w:t>
      </w:r>
      <w:r w:rsidRPr="006A41E2">
        <w:rPr>
          <w:noProof/>
          <w:sz w:val="22"/>
        </w:rPr>
        <w:t xml:space="preserve"> and to any actions </w:t>
      </w:r>
      <w:r w:rsidR="00C56E81">
        <w:rPr>
          <w:noProof/>
          <w:sz w:val="22"/>
        </w:rPr>
        <w:t>taken</w:t>
      </w:r>
      <w:r w:rsidR="00C56E81" w:rsidRPr="006A41E2">
        <w:rPr>
          <w:noProof/>
          <w:sz w:val="22"/>
        </w:rPr>
        <w:t xml:space="preserve"> </w:t>
      </w:r>
      <w:r w:rsidRPr="006A41E2">
        <w:rPr>
          <w:noProof/>
          <w:sz w:val="22"/>
        </w:rPr>
        <w:t xml:space="preserve">to </w:t>
      </w:r>
      <w:r w:rsidR="0001528B">
        <w:rPr>
          <w:noProof/>
          <w:sz w:val="22"/>
        </w:rPr>
        <w:t>improve</w:t>
      </w:r>
      <w:r w:rsidR="0001528B" w:rsidRPr="006A41E2">
        <w:rPr>
          <w:noProof/>
          <w:sz w:val="22"/>
        </w:rPr>
        <w:t xml:space="preserve"> </w:t>
      </w:r>
      <w:r w:rsidRPr="006A41E2">
        <w:rPr>
          <w:noProof/>
          <w:sz w:val="22"/>
        </w:rPr>
        <w:t>them during the accounting year.</w:t>
      </w:r>
    </w:p>
    <w:p w14:paraId="4E19E95E" w14:textId="77777777" w:rsidR="00397A63" w:rsidRDefault="00397A63" w:rsidP="00397A63">
      <w:pPr>
        <w:rPr>
          <w:noProof/>
          <w:sz w:val="22"/>
        </w:rPr>
      </w:pPr>
      <w:r>
        <w:rPr>
          <w:noProof/>
          <w:sz w:val="22"/>
        </w:rPr>
        <w:t>If relevant, d</w:t>
      </w:r>
      <w:r w:rsidRPr="00AD502C">
        <w:rPr>
          <w:noProof/>
          <w:sz w:val="22"/>
        </w:rPr>
        <w:t>escribe</w:t>
      </w:r>
      <w:r>
        <w:rPr>
          <w:noProof/>
          <w:sz w:val="22"/>
        </w:rPr>
        <w:t xml:space="preserve"> also:</w:t>
      </w:r>
    </w:p>
    <w:p w14:paraId="531A8F5E" w14:textId="444006D0" w:rsidR="00397A63" w:rsidRPr="00397A63" w:rsidRDefault="00397A63" w:rsidP="00397A63">
      <w:pPr>
        <w:pStyle w:val="Tiret0"/>
        <w:numPr>
          <w:ilvl w:val="0"/>
          <w:numId w:val="12"/>
        </w:numPr>
        <w:rPr>
          <w:noProof/>
          <w:sz w:val="22"/>
        </w:rPr>
      </w:pPr>
      <w:r w:rsidRPr="00397A63">
        <w:rPr>
          <w:noProof/>
          <w:sz w:val="22"/>
        </w:rPr>
        <w:t>the complementarity of the activities carried out from the perspective of strengthening inter-agency cooperation;</w:t>
      </w:r>
      <w:r w:rsidRPr="00FA20C5">
        <w:rPr>
          <w:rStyle w:val="FootnoteReference"/>
          <w:noProof/>
          <w:sz w:val="22"/>
        </w:rPr>
        <w:footnoteReference w:id="18"/>
      </w:r>
    </w:p>
    <w:p w14:paraId="15E13FE3" w14:textId="7C502C23" w:rsidR="00397A63" w:rsidRPr="00397A63" w:rsidRDefault="00397A63" w:rsidP="00397A63">
      <w:pPr>
        <w:pStyle w:val="Tiret0"/>
        <w:numPr>
          <w:ilvl w:val="0"/>
          <w:numId w:val="12"/>
        </w:numPr>
        <w:rPr>
          <w:noProof/>
          <w:sz w:val="22"/>
        </w:rPr>
      </w:pPr>
      <w:r w:rsidRPr="00397A63">
        <w:rPr>
          <w:noProof/>
          <w:sz w:val="22"/>
        </w:rPr>
        <w:t>synergies in relation to security of infrastructure and public spaces, cybersecurity, the protection of victims and the prevention of radicalisation.</w:t>
      </w:r>
    </w:p>
    <w:tbl>
      <w:tblPr>
        <w:tblStyle w:val="TableGrid"/>
        <w:tblW w:w="0" w:type="auto"/>
        <w:tblLook w:val="04A0" w:firstRow="1" w:lastRow="0" w:firstColumn="1" w:lastColumn="0" w:noHBand="0" w:noVBand="1"/>
      </w:tblPr>
      <w:tblGrid>
        <w:gridCol w:w="9289"/>
      </w:tblGrid>
      <w:tr w:rsidR="006A41E2" w14:paraId="74C71D55" w14:textId="77777777" w:rsidTr="00E45665">
        <w:tc>
          <w:tcPr>
            <w:tcW w:w="9289" w:type="dxa"/>
          </w:tcPr>
          <w:p w14:paraId="1674A3CD" w14:textId="317E8EE9" w:rsidR="008037EA" w:rsidRDefault="008037EA" w:rsidP="00A91065">
            <w:pPr>
              <w:pStyle w:val="Institutionquisigne"/>
              <w:spacing w:before="0"/>
              <w:contextualSpacing/>
            </w:pPr>
            <w:r>
              <w:t>The complementarity and synergies between ISF and other forms of support is mainly</w:t>
            </w:r>
            <w:r w:rsidR="00A91065">
              <w:t xml:space="preserve"> </w:t>
            </w:r>
            <w:r>
              <w:t xml:space="preserve">managed at the level of the final beneficiaries. </w:t>
            </w:r>
            <w:r w:rsidR="00E62FBE">
              <w:t>For training purposes, this includes the need to ensure coordination with CEPOL, where possible through use of and/or building on existing CEPOL materials, with a view to maximize synergies and avoid duplications. For example, the Federal Police disposes of a dedicated project unit that works with a.o. the ISF and Horizon Europe.</w:t>
            </w:r>
          </w:p>
          <w:p w14:paraId="51E12F71" w14:textId="20E4B9E4" w:rsidR="00101670" w:rsidRDefault="00101670" w:rsidP="00A91065">
            <w:pPr>
              <w:pStyle w:val="Personnequisigne"/>
              <w:contextualSpacing/>
              <w:jc w:val="both"/>
            </w:pPr>
          </w:p>
          <w:p w14:paraId="55DC198E" w14:textId="46EB9C2C" w:rsidR="008037EA" w:rsidRDefault="00B44F9C" w:rsidP="00A91065">
            <w:pPr>
              <w:pStyle w:val="Institutionquisigne"/>
              <w:spacing w:before="0"/>
            </w:pPr>
            <w:r>
              <w:t>The National Institute of Criminalistics and Criminology (NICC) reported monitoring</w:t>
            </w:r>
            <w:r w:rsidR="00101670">
              <w:t xml:space="preserve"> the activities of the European Anti-Cybercrime Technology Development Association (EACTDA)</w:t>
            </w:r>
            <w:r>
              <w:t xml:space="preserve"> and its Tools4LEAs project </w:t>
            </w:r>
            <w:r w:rsidR="00620FD9">
              <w:t>(funded under the EU ISFP Programme under Grant Agreement number 101036219)</w:t>
            </w:r>
            <w:r w:rsidR="00184054">
              <w:t>,</w:t>
            </w:r>
            <w:r w:rsidR="00620FD9">
              <w:t xml:space="preserve"> </w:t>
            </w:r>
            <w:r>
              <w:t xml:space="preserve">as the </w:t>
            </w:r>
            <w:r w:rsidR="00101670">
              <w:t>anti-cybercrime related software tools available free of charge for EU public services</w:t>
            </w:r>
            <w:r w:rsidR="00620FD9">
              <w:t xml:space="preserve"> are of interest for the NICC in the establishment of the forensic IT department under the ISF-084-108 project. </w:t>
            </w:r>
          </w:p>
          <w:p w14:paraId="71C02E8F" w14:textId="5B408932" w:rsidR="00620FD9" w:rsidRPr="00620FD9" w:rsidRDefault="00620FD9" w:rsidP="00620FD9">
            <w:pPr>
              <w:pStyle w:val="Personnequisigne"/>
            </w:pPr>
          </w:p>
        </w:tc>
      </w:tr>
    </w:tbl>
    <w:p w14:paraId="15BD299D" w14:textId="0EF564DD" w:rsidR="008671BE" w:rsidRPr="000F183F" w:rsidRDefault="004C5B3C" w:rsidP="004C5B3C">
      <w:pPr>
        <w:pStyle w:val="ManualHeading2"/>
        <w:rPr>
          <w:noProof/>
        </w:rPr>
      </w:pPr>
      <w:r w:rsidRPr="004C5B3C">
        <w:t>2.2.</w:t>
      </w:r>
      <w:r w:rsidRPr="004C5B3C">
        <w:tab/>
      </w:r>
      <w:r w:rsidR="008671BE" w:rsidRPr="00D378BC">
        <w:rPr>
          <w:noProof/>
        </w:rPr>
        <w:t>Multi</w:t>
      </w:r>
      <w:r w:rsidR="0071685A" w:rsidRPr="00D378BC">
        <w:rPr>
          <w:noProof/>
        </w:rPr>
        <w:t>purpose</w:t>
      </w:r>
      <w:r w:rsidR="008671BE" w:rsidRPr="00D378BC">
        <w:rPr>
          <w:noProof/>
        </w:rPr>
        <w:t xml:space="preserve"> equipment and ICT systems - </w:t>
      </w:r>
      <w:r w:rsidR="00AA72E3" w:rsidRPr="00D378BC">
        <w:rPr>
          <w:noProof/>
        </w:rPr>
        <w:t>A</w:t>
      </w:r>
      <w:r w:rsidR="008671BE" w:rsidRPr="00D378BC">
        <w:rPr>
          <w:noProof/>
        </w:rPr>
        <w:t>rticle 5(4) of Regulation (EU) 2021/1149</w:t>
      </w:r>
      <w:r w:rsidR="008671BE">
        <w:rPr>
          <w:noProof/>
        </w:rPr>
        <w:t xml:space="preserve"> </w:t>
      </w:r>
    </w:p>
    <w:p w14:paraId="14F21686" w14:textId="77777777" w:rsidR="008671BE" w:rsidRDefault="00621FCD" w:rsidP="008671BE">
      <w:pPr>
        <w:rPr>
          <w:noProof/>
          <w:sz w:val="22"/>
        </w:rPr>
      </w:pPr>
      <w:r>
        <w:rPr>
          <w:noProof/>
          <w:sz w:val="22"/>
        </w:rPr>
        <w:t>D</w:t>
      </w:r>
      <w:r w:rsidR="008671BE" w:rsidRPr="006A41E2">
        <w:rPr>
          <w:noProof/>
          <w:sz w:val="22"/>
        </w:rPr>
        <w:t xml:space="preserve">escribe </w:t>
      </w:r>
      <w:r w:rsidR="00A97818">
        <w:rPr>
          <w:noProof/>
          <w:sz w:val="22"/>
        </w:rPr>
        <w:t xml:space="preserve">briefly </w:t>
      </w:r>
      <w:r w:rsidR="008671BE" w:rsidRPr="006A41E2">
        <w:rPr>
          <w:noProof/>
          <w:sz w:val="22"/>
        </w:rPr>
        <w:t>the relevant operations involving equipment and ICT systems</w:t>
      </w:r>
      <w:r w:rsidR="008671BE">
        <w:rPr>
          <w:noProof/>
          <w:sz w:val="22"/>
        </w:rPr>
        <w:t xml:space="preserve"> purchased within the programme and partly used</w:t>
      </w:r>
      <w:r w:rsidR="008671BE" w:rsidRPr="006A41E2">
        <w:rPr>
          <w:noProof/>
          <w:sz w:val="22"/>
        </w:rPr>
        <w:t xml:space="preserve"> in</w:t>
      </w:r>
      <w:r w:rsidR="008671BE">
        <w:rPr>
          <w:noProof/>
          <w:sz w:val="22"/>
        </w:rPr>
        <w:t xml:space="preserve"> the</w:t>
      </w:r>
      <w:r w:rsidR="008671BE" w:rsidRPr="006A41E2">
        <w:rPr>
          <w:noProof/>
          <w:sz w:val="22"/>
        </w:rPr>
        <w:t xml:space="preserve"> complementary area</w:t>
      </w:r>
      <w:r w:rsidR="008671BE" w:rsidDel="008671BE">
        <w:rPr>
          <w:noProof/>
          <w:sz w:val="22"/>
        </w:rPr>
        <w:t xml:space="preserve"> </w:t>
      </w:r>
      <w:r w:rsidR="008671BE" w:rsidRPr="006A41E2">
        <w:rPr>
          <w:noProof/>
          <w:sz w:val="22"/>
        </w:rPr>
        <w:t xml:space="preserve">covered by Regulation (EU) 2021/1148 and for achieving the objectives of the </w:t>
      </w:r>
      <w:r w:rsidR="00652D07" w:rsidRPr="00652D07">
        <w:rPr>
          <w:noProof/>
          <w:sz w:val="22"/>
        </w:rPr>
        <w:t>Instrument for Financial Support for Border Management and Visa Policy</w:t>
      </w:r>
      <w:r w:rsidR="008671BE" w:rsidRPr="006A41E2">
        <w:rPr>
          <w:noProof/>
          <w:sz w:val="22"/>
        </w:rPr>
        <w:t xml:space="preserve">. </w:t>
      </w:r>
      <w:r w:rsidR="00652D07">
        <w:rPr>
          <w:noProof/>
          <w:sz w:val="22"/>
        </w:rPr>
        <w:t>I</w:t>
      </w:r>
      <w:r w:rsidR="008671BE" w:rsidRPr="006A41E2">
        <w:rPr>
          <w:noProof/>
          <w:sz w:val="22"/>
        </w:rPr>
        <w:t>ndicate the place</w:t>
      </w:r>
      <w:r w:rsidR="00B75806">
        <w:rPr>
          <w:noProof/>
          <w:sz w:val="22"/>
        </w:rPr>
        <w:t>(s) where the</w:t>
      </w:r>
      <w:r w:rsidR="008671BE" w:rsidRPr="006A41E2">
        <w:rPr>
          <w:noProof/>
          <w:sz w:val="22"/>
        </w:rPr>
        <w:t xml:space="preserve"> multi</w:t>
      </w:r>
      <w:r w:rsidR="0071685A">
        <w:rPr>
          <w:noProof/>
          <w:sz w:val="22"/>
        </w:rPr>
        <w:t>purpose</w:t>
      </w:r>
      <w:r w:rsidR="008671BE" w:rsidRPr="006A41E2">
        <w:rPr>
          <w:noProof/>
          <w:sz w:val="22"/>
        </w:rPr>
        <w:t xml:space="preserve"> equipment and ICT systems</w:t>
      </w:r>
      <w:r w:rsidR="00B75806">
        <w:rPr>
          <w:noProof/>
          <w:sz w:val="22"/>
        </w:rPr>
        <w:t xml:space="preserve"> were deployed</w:t>
      </w:r>
      <w:r w:rsidR="008671BE" w:rsidRPr="006A41E2">
        <w:rPr>
          <w:noProof/>
          <w:sz w:val="22"/>
        </w:rPr>
        <w:t xml:space="preserve">. </w:t>
      </w:r>
    </w:p>
    <w:p w14:paraId="2656C5C8" w14:textId="77777777" w:rsidR="008671BE" w:rsidRPr="006A41E2" w:rsidRDefault="00DF1E54" w:rsidP="008671BE">
      <w:pPr>
        <w:rPr>
          <w:noProof/>
          <w:sz w:val="22"/>
        </w:rPr>
      </w:pPr>
      <w:r w:rsidRPr="00AD502C">
        <w:rPr>
          <w:noProof/>
          <w:sz w:val="22"/>
        </w:rPr>
        <w:t xml:space="preserve">For equipment, also provide information on </w:t>
      </w:r>
      <w:r>
        <w:rPr>
          <w:noProof/>
          <w:sz w:val="22"/>
        </w:rPr>
        <w:t>the</w:t>
      </w:r>
      <w:r w:rsidRPr="00AD502C">
        <w:rPr>
          <w:noProof/>
          <w:sz w:val="22"/>
        </w:rPr>
        <w:t xml:space="preserve"> period </w:t>
      </w:r>
      <w:r>
        <w:rPr>
          <w:noProof/>
          <w:sz w:val="22"/>
        </w:rPr>
        <w:t>when it was used</w:t>
      </w:r>
      <w:r w:rsidRPr="00AD502C">
        <w:rPr>
          <w:noProof/>
          <w:sz w:val="22"/>
        </w:rPr>
        <w:t xml:space="preserve"> in the complementary areas of the </w:t>
      </w:r>
      <w:r w:rsidRPr="00652D07">
        <w:rPr>
          <w:noProof/>
          <w:sz w:val="22"/>
        </w:rPr>
        <w:t>Instrument for Financial Support for Border Management and Visa Policy</w:t>
      </w:r>
      <w:r w:rsidR="008671BE" w:rsidRPr="006A41E2">
        <w:rPr>
          <w:noProof/>
          <w:sz w:val="22"/>
        </w:rPr>
        <w:t xml:space="preserve">. </w:t>
      </w:r>
    </w:p>
    <w:tbl>
      <w:tblPr>
        <w:tblStyle w:val="TableGrid"/>
        <w:tblW w:w="0" w:type="auto"/>
        <w:tblLook w:val="04A0" w:firstRow="1" w:lastRow="0" w:firstColumn="1" w:lastColumn="0" w:noHBand="0" w:noVBand="1"/>
      </w:tblPr>
      <w:tblGrid>
        <w:gridCol w:w="9289"/>
      </w:tblGrid>
      <w:tr w:rsidR="008671BE" w14:paraId="78B998D3" w14:textId="77777777" w:rsidTr="0059250C">
        <w:tc>
          <w:tcPr>
            <w:tcW w:w="9289" w:type="dxa"/>
          </w:tcPr>
          <w:p w14:paraId="577B7662" w14:textId="77777777" w:rsidR="008671BE" w:rsidRDefault="00147182" w:rsidP="009E5C5D">
            <w:pPr>
              <w:pStyle w:val="Personnequisigne"/>
              <w:rPr>
                <w:noProof/>
                <w:sz w:val="22"/>
              </w:rPr>
            </w:pPr>
            <w:r>
              <w:rPr>
                <w:noProof/>
                <w:sz w:val="22"/>
              </w:rPr>
              <w:t>Not applicable</w:t>
            </w:r>
            <w:r w:rsidR="00F5753A">
              <w:rPr>
                <w:noProof/>
                <w:sz w:val="22"/>
              </w:rPr>
              <w:t>.</w:t>
            </w:r>
          </w:p>
          <w:p w14:paraId="69EE5ED9" w14:textId="447855AC" w:rsidR="00F5753A" w:rsidRPr="00F5753A" w:rsidRDefault="00F5753A" w:rsidP="00F5753A">
            <w:pPr>
              <w:pStyle w:val="Personnequisigne"/>
              <w:rPr>
                <w:highlight w:val="yellow"/>
              </w:rPr>
            </w:pPr>
          </w:p>
        </w:tc>
      </w:tr>
    </w:tbl>
    <w:p w14:paraId="0328C95F" w14:textId="4C5251B8" w:rsidR="006A41E2" w:rsidRPr="003C022B" w:rsidRDefault="00BC294D" w:rsidP="00BC294D">
      <w:pPr>
        <w:rPr>
          <w:noProof/>
          <w:sz w:val="22"/>
        </w:rPr>
      </w:pPr>
      <w:r>
        <w:rPr>
          <w:noProof/>
          <w:sz w:val="22"/>
        </w:rPr>
        <w:t xml:space="preserve">For a </w:t>
      </w:r>
      <w:r w:rsidR="00554DAE">
        <w:rPr>
          <w:noProof/>
          <w:sz w:val="22"/>
        </w:rPr>
        <w:t xml:space="preserve">Union </w:t>
      </w:r>
      <w:r>
        <w:rPr>
          <w:noProof/>
          <w:sz w:val="22"/>
        </w:rPr>
        <w:t xml:space="preserve">information system funded under the </w:t>
      </w:r>
      <w:r w:rsidRPr="006A41E2">
        <w:rPr>
          <w:noProof/>
          <w:sz w:val="22"/>
        </w:rPr>
        <w:t>Regulation (EU) 2021/114</w:t>
      </w:r>
      <w:r>
        <w:rPr>
          <w:noProof/>
          <w:sz w:val="22"/>
        </w:rPr>
        <w:t>9</w:t>
      </w:r>
      <w:r w:rsidRPr="006A41E2">
        <w:rPr>
          <w:noProof/>
          <w:sz w:val="22"/>
        </w:rPr>
        <w:t xml:space="preserve"> </w:t>
      </w:r>
      <w:r w:rsidRPr="00BC294D">
        <w:rPr>
          <w:noProof/>
          <w:sz w:val="22"/>
        </w:rPr>
        <w:t xml:space="preserve">which </w:t>
      </w:r>
      <w:r>
        <w:rPr>
          <w:noProof/>
          <w:sz w:val="22"/>
        </w:rPr>
        <w:t xml:space="preserve">also </w:t>
      </w:r>
      <w:r w:rsidRPr="00BC294D">
        <w:rPr>
          <w:noProof/>
          <w:sz w:val="22"/>
        </w:rPr>
        <w:t xml:space="preserve">serves the objectives of </w:t>
      </w:r>
      <w:r w:rsidRPr="006A41E2">
        <w:rPr>
          <w:noProof/>
          <w:sz w:val="22"/>
        </w:rPr>
        <w:t xml:space="preserve">Regulation (EU) 2021/1148 </w:t>
      </w:r>
      <w:r w:rsidRPr="00BC294D">
        <w:rPr>
          <w:noProof/>
          <w:sz w:val="22"/>
        </w:rPr>
        <w:t>(multipurpose) or activities required under the EU interoperability legal framework</w:t>
      </w:r>
      <w:r>
        <w:rPr>
          <w:noProof/>
          <w:sz w:val="22"/>
        </w:rPr>
        <w:t>,</w:t>
      </w:r>
      <w:r w:rsidR="00FC3F33">
        <w:rPr>
          <w:rStyle w:val="FootnoteReference"/>
          <w:noProof/>
          <w:sz w:val="22"/>
        </w:rPr>
        <w:footnoteReference w:id="19"/>
      </w:r>
      <w:r>
        <w:rPr>
          <w:noProof/>
          <w:sz w:val="22"/>
        </w:rPr>
        <w:t xml:space="preserve"> </w:t>
      </w:r>
      <w:r w:rsidR="002C4C72">
        <w:rPr>
          <w:noProof/>
          <w:sz w:val="22"/>
        </w:rPr>
        <w:t xml:space="preserve">fill in the table below. </w:t>
      </w:r>
    </w:p>
    <w:tbl>
      <w:tblPr>
        <w:tblStyle w:val="TableGrid"/>
        <w:tblW w:w="9289" w:type="dxa"/>
        <w:tblLayout w:type="fixed"/>
        <w:tblCellMar>
          <w:left w:w="28" w:type="dxa"/>
          <w:right w:w="28" w:type="dxa"/>
        </w:tblCellMar>
        <w:tblLook w:val="04A0" w:firstRow="1" w:lastRow="0" w:firstColumn="1" w:lastColumn="0" w:noHBand="0" w:noVBand="1"/>
      </w:tblPr>
      <w:tblGrid>
        <w:gridCol w:w="879"/>
        <w:gridCol w:w="1072"/>
        <w:gridCol w:w="1338"/>
        <w:gridCol w:w="1275"/>
        <w:gridCol w:w="1356"/>
        <w:gridCol w:w="992"/>
        <w:gridCol w:w="1134"/>
        <w:gridCol w:w="1243"/>
      </w:tblGrid>
      <w:tr w:rsidR="006A41E2" w:rsidRPr="003C022B" w14:paraId="09E0328A" w14:textId="77777777" w:rsidTr="0060652B">
        <w:trPr>
          <w:trHeight w:val="688"/>
        </w:trPr>
        <w:tc>
          <w:tcPr>
            <w:tcW w:w="879" w:type="dxa"/>
            <w:vAlign w:val="center"/>
          </w:tcPr>
          <w:p w14:paraId="4EC1F895" w14:textId="77777777" w:rsidR="006A41E2" w:rsidRPr="003C022B" w:rsidRDefault="006A41E2" w:rsidP="00E45665">
            <w:pPr>
              <w:pStyle w:val="Institutionquisigne"/>
              <w:spacing w:before="0"/>
              <w:jc w:val="center"/>
              <w:rPr>
                <w:i w:val="0"/>
                <w:noProof/>
                <w:sz w:val="20"/>
              </w:rPr>
            </w:pPr>
            <w:r w:rsidRPr="003C022B">
              <w:rPr>
                <w:i w:val="0"/>
                <w:noProof/>
                <w:sz w:val="20"/>
              </w:rPr>
              <w:t>S</w:t>
            </w:r>
            <w:r w:rsidR="00DF1E54">
              <w:rPr>
                <w:i w:val="0"/>
                <w:noProof/>
                <w:sz w:val="20"/>
              </w:rPr>
              <w:t xml:space="preserve">pecific </w:t>
            </w:r>
            <w:r w:rsidRPr="003C022B">
              <w:rPr>
                <w:i w:val="0"/>
                <w:noProof/>
                <w:sz w:val="20"/>
              </w:rPr>
              <w:t>O</w:t>
            </w:r>
            <w:r w:rsidR="00DF1E54">
              <w:rPr>
                <w:i w:val="0"/>
                <w:noProof/>
                <w:sz w:val="20"/>
              </w:rPr>
              <w:t>bjective</w:t>
            </w:r>
          </w:p>
        </w:tc>
        <w:tc>
          <w:tcPr>
            <w:tcW w:w="1072" w:type="dxa"/>
            <w:vAlign w:val="center"/>
          </w:tcPr>
          <w:p w14:paraId="026A5961" w14:textId="77777777" w:rsidR="006A41E2" w:rsidRPr="003C022B" w:rsidRDefault="006A41E2" w:rsidP="00E45665">
            <w:pPr>
              <w:pStyle w:val="Institutionquisigne"/>
              <w:spacing w:before="0"/>
              <w:jc w:val="center"/>
              <w:rPr>
                <w:i w:val="0"/>
                <w:noProof/>
                <w:sz w:val="20"/>
              </w:rPr>
            </w:pPr>
            <w:r w:rsidRPr="003C022B">
              <w:rPr>
                <w:i w:val="0"/>
                <w:noProof/>
                <w:sz w:val="20"/>
              </w:rPr>
              <w:t>Name of the operation</w:t>
            </w:r>
          </w:p>
        </w:tc>
        <w:tc>
          <w:tcPr>
            <w:tcW w:w="1338" w:type="dxa"/>
            <w:vAlign w:val="center"/>
          </w:tcPr>
          <w:p w14:paraId="44F3A246" w14:textId="77777777" w:rsidR="006A41E2" w:rsidRPr="003C022B" w:rsidRDefault="006A41E2" w:rsidP="00E45665">
            <w:pPr>
              <w:pStyle w:val="Institutionquisigne"/>
              <w:spacing w:before="0"/>
              <w:jc w:val="center"/>
              <w:rPr>
                <w:i w:val="0"/>
                <w:noProof/>
                <w:sz w:val="20"/>
              </w:rPr>
            </w:pPr>
            <w:r w:rsidRPr="003C022B">
              <w:rPr>
                <w:i w:val="0"/>
                <w:noProof/>
                <w:sz w:val="20"/>
              </w:rPr>
              <w:t>Beneficiary of the operation</w:t>
            </w:r>
          </w:p>
        </w:tc>
        <w:tc>
          <w:tcPr>
            <w:tcW w:w="1275" w:type="dxa"/>
            <w:vAlign w:val="center"/>
          </w:tcPr>
          <w:p w14:paraId="51A52E93" w14:textId="77777777" w:rsidR="006A41E2" w:rsidRPr="003C022B" w:rsidRDefault="006A41E2" w:rsidP="006A41E2">
            <w:pPr>
              <w:pStyle w:val="Institutionquisigne"/>
              <w:spacing w:before="0"/>
              <w:jc w:val="center"/>
              <w:rPr>
                <w:i w:val="0"/>
                <w:noProof/>
                <w:sz w:val="20"/>
              </w:rPr>
            </w:pPr>
            <w:r w:rsidRPr="003C022B">
              <w:rPr>
                <w:i w:val="0"/>
                <w:noProof/>
                <w:sz w:val="20"/>
              </w:rPr>
              <w:t xml:space="preserve">Objective of the </w:t>
            </w:r>
            <w:r>
              <w:rPr>
                <w:i w:val="0"/>
                <w:noProof/>
                <w:sz w:val="20"/>
              </w:rPr>
              <w:t>operation</w:t>
            </w:r>
          </w:p>
        </w:tc>
        <w:tc>
          <w:tcPr>
            <w:tcW w:w="1356" w:type="dxa"/>
            <w:vAlign w:val="center"/>
          </w:tcPr>
          <w:p w14:paraId="48F89166" w14:textId="77777777" w:rsidR="006A41E2" w:rsidRPr="003C022B" w:rsidRDefault="006A41E2" w:rsidP="00E45665">
            <w:pPr>
              <w:pStyle w:val="Institutionquisigne"/>
              <w:spacing w:before="0"/>
              <w:jc w:val="center"/>
              <w:rPr>
                <w:i w:val="0"/>
                <w:noProof/>
                <w:sz w:val="20"/>
              </w:rPr>
            </w:pPr>
            <w:r w:rsidRPr="003C022B">
              <w:rPr>
                <w:i w:val="0"/>
                <w:noProof/>
                <w:sz w:val="20"/>
              </w:rPr>
              <w:t>Implementation period</w:t>
            </w:r>
          </w:p>
        </w:tc>
        <w:tc>
          <w:tcPr>
            <w:tcW w:w="992" w:type="dxa"/>
            <w:vAlign w:val="center"/>
          </w:tcPr>
          <w:p w14:paraId="02EEC149" w14:textId="77777777" w:rsidR="006A41E2" w:rsidRPr="003C022B" w:rsidRDefault="006A41E2" w:rsidP="00E45665">
            <w:pPr>
              <w:pStyle w:val="Institutionquisigne"/>
              <w:spacing w:before="0"/>
              <w:jc w:val="center"/>
              <w:rPr>
                <w:i w:val="0"/>
                <w:noProof/>
                <w:sz w:val="20"/>
              </w:rPr>
            </w:pPr>
            <w:r w:rsidRPr="003C022B">
              <w:rPr>
                <w:i w:val="0"/>
                <w:noProof/>
                <w:sz w:val="20"/>
              </w:rPr>
              <w:t>Co-financing rate</w:t>
            </w:r>
          </w:p>
        </w:tc>
        <w:tc>
          <w:tcPr>
            <w:tcW w:w="1134" w:type="dxa"/>
            <w:vAlign w:val="center"/>
          </w:tcPr>
          <w:p w14:paraId="1C79CF16" w14:textId="77777777" w:rsidR="006A41E2" w:rsidRPr="003C022B" w:rsidRDefault="006A41E2" w:rsidP="00E45665">
            <w:pPr>
              <w:pStyle w:val="Institutionquisigne"/>
              <w:spacing w:before="0"/>
              <w:jc w:val="center"/>
              <w:rPr>
                <w:i w:val="0"/>
                <w:noProof/>
                <w:sz w:val="20"/>
              </w:rPr>
            </w:pPr>
            <w:r w:rsidRPr="003C022B">
              <w:rPr>
                <w:i w:val="0"/>
                <w:noProof/>
                <w:sz w:val="20"/>
              </w:rPr>
              <w:t>Eligible costs</w:t>
            </w:r>
            <w:r>
              <w:rPr>
                <w:rStyle w:val="FootnoteReference"/>
                <w:i w:val="0"/>
                <w:noProof/>
                <w:sz w:val="20"/>
              </w:rPr>
              <w:footnoteReference w:id="20"/>
            </w:r>
          </w:p>
        </w:tc>
        <w:tc>
          <w:tcPr>
            <w:tcW w:w="1243" w:type="dxa"/>
            <w:vAlign w:val="center"/>
          </w:tcPr>
          <w:p w14:paraId="080A3000" w14:textId="77777777" w:rsidR="006A41E2" w:rsidRPr="003C022B" w:rsidRDefault="006A41E2" w:rsidP="00E45665">
            <w:pPr>
              <w:pStyle w:val="Institutionquisigne"/>
              <w:spacing w:before="0"/>
              <w:jc w:val="center"/>
              <w:rPr>
                <w:i w:val="0"/>
                <w:noProof/>
                <w:sz w:val="20"/>
              </w:rPr>
            </w:pPr>
            <w:r w:rsidRPr="003C022B">
              <w:rPr>
                <w:i w:val="0"/>
                <w:noProof/>
                <w:sz w:val="20"/>
              </w:rPr>
              <w:t>Eligible expenditure</w:t>
            </w:r>
            <w:r>
              <w:rPr>
                <w:rStyle w:val="FootnoteReference"/>
                <w:i w:val="0"/>
                <w:noProof/>
                <w:sz w:val="20"/>
                <w:szCs w:val="20"/>
              </w:rPr>
              <w:footnoteReference w:id="21"/>
            </w:r>
          </w:p>
        </w:tc>
      </w:tr>
      <w:tr w:rsidR="006A41E2" w14:paraId="77BCA9F5" w14:textId="77777777" w:rsidTr="0060652B">
        <w:trPr>
          <w:trHeight w:val="255"/>
        </w:trPr>
        <w:tc>
          <w:tcPr>
            <w:tcW w:w="879" w:type="dxa"/>
            <w:vAlign w:val="center"/>
          </w:tcPr>
          <w:p w14:paraId="78FF96FF" w14:textId="77777777" w:rsidR="006A41E2" w:rsidRPr="003C022B" w:rsidRDefault="006A41E2" w:rsidP="00E45665">
            <w:pPr>
              <w:pStyle w:val="Institutionquisigne"/>
              <w:spacing w:before="0"/>
              <w:rPr>
                <w:i w:val="0"/>
                <w:noProof/>
                <w:sz w:val="22"/>
              </w:rPr>
            </w:pPr>
          </w:p>
        </w:tc>
        <w:tc>
          <w:tcPr>
            <w:tcW w:w="1072" w:type="dxa"/>
            <w:vAlign w:val="center"/>
          </w:tcPr>
          <w:p w14:paraId="00509DB1" w14:textId="77777777" w:rsidR="006A41E2" w:rsidRPr="003C022B" w:rsidRDefault="006A41E2" w:rsidP="00E45665">
            <w:pPr>
              <w:pStyle w:val="Institutionquisigne"/>
              <w:spacing w:before="0"/>
              <w:jc w:val="center"/>
              <w:rPr>
                <w:noProof/>
              </w:rPr>
            </w:pPr>
          </w:p>
        </w:tc>
        <w:tc>
          <w:tcPr>
            <w:tcW w:w="1338" w:type="dxa"/>
          </w:tcPr>
          <w:p w14:paraId="2FBE35E4" w14:textId="77777777" w:rsidR="006A41E2" w:rsidRPr="003C022B" w:rsidRDefault="006A41E2" w:rsidP="00E45665">
            <w:pPr>
              <w:pStyle w:val="Institutionquisigne"/>
              <w:spacing w:before="0"/>
              <w:jc w:val="center"/>
              <w:rPr>
                <w:noProof/>
              </w:rPr>
            </w:pPr>
          </w:p>
        </w:tc>
        <w:tc>
          <w:tcPr>
            <w:tcW w:w="1275" w:type="dxa"/>
            <w:vAlign w:val="center"/>
          </w:tcPr>
          <w:p w14:paraId="2F263436" w14:textId="77777777" w:rsidR="006A41E2" w:rsidRPr="003C022B" w:rsidRDefault="006A41E2" w:rsidP="00E45665">
            <w:pPr>
              <w:pStyle w:val="Institutionquisigne"/>
              <w:spacing w:before="0"/>
              <w:jc w:val="center"/>
              <w:rPr>
                <w:noProof/>
              </w:rPr>
            </w:pPr>
          </w:p>
        </w:tc>
        <w:tc>
          <w:tcPr>
            <w:tcW w:w="1356" w:type="dxa"/>
            <w:vAlign w:val="center"/>
          </w:tcPr>
          <w:p w14:paraId="67ADCF4F" w14:textId="77777777" w:rsidR="006A41E2" w:rsidRPr="003C022B" w:rsidRDefault="006A41E2" w:rsidP="00E45665">
            <w:pPr>
              <w:pStyle w:val="Institutionquisigne"/>
              <w:spacing w:before="0"/>
              <w:jc w:val="center"/>
              <w:rPr>
                <w:noProof/>
              </w:rPr>
            </w:pPr>
          </w:p>
        </w:tc>
        <w:tc>
          <w:tcPr>
            <w:tcW w:w="992" w:type="dxa"/>
          </w:tcPr>
          <w:p w14:paraId="11F705C9" w14:textId="77777777" w:rsidR="006A41E2" w:rsidRPr="003C022B" w:rsidRDefault="006A41E2" w:rsidP="00E45665">
            <w:pPr>
              <w:pStyle w:val="Institutionquisigne"/>
              <w:spacing w:before="0"/>
              <w:jc w:val="center"/>
              <w:rPr>
                <w:noProof/>
              </w:rPr>
            </w:pPr>
          </w:p>
        </w:tc>
        <w:tc>
          <w:tcPr>
            <w:tcW w:w="1134" w:type="dxa"/>
          </w:tcPr>
          <w:p w14:paraId="4CA59BB4" w14:textId="77777777" w:rsidR="006A41E2" w:rsidRPr="003C022B" w:rsidRDefault="006A41E2" w:rsidP="00E45665">
            <w:pPr>
              <w:pStyle w:val="Institutionquisigne"/>
              <w:spacing w:before="0"/>
              <w:jc w:val="center"/>
              <w:rPr>
                <w:noProof/>
              </w:rPr>
            </w:pPr>
          </w:p>
        </w:tc>
        <w:tc>
          <w:tcPr>
            <w:tcW w:w="1243" w:type="dxa"/>
          </w:tcPr>
          <w:p w14:paraId="08531E43" w14:textId="77777777" w:rsidR="006A41E2" w:rsidRDefault="006A41E2" w:rsidP="00E45665">
            <w:pPr>
              <w:pStyle w:val="Institutionquisigne"/>
              <w:spacing w:before="0"/>
              <w:jc w:val="center"/>
              <w:rPr>
                <w:noProof/>
              </w:rPr>
            </w:pPr>
          </w:p>
        </w:tc>
      </w:tr>
    </w:tbl>
    <w:p w14:paraId="1BD10FFF" w14:textId="33D1B40F" w:rsidR="006A41E2" w:rsidRPr="006A41E2" w:rsidRDefault="004C5B3C" w:rsidP="004C5B3C">
      <w:pPr>
        <w:pStyle w:val="ManualHeading1"/>
        <w:rPr>
          <w:noProof/>
        </w:rPr>
      </w:pPr>
      <w:r w:rsidRPr="004C5B3C">
        <w:t>3.</w:t>
      </w:r>
      <w:r w:rsidRPr="004C5B3C">
        <w:tab/>
      </w:r>
      <w:r w:rsidR="006A41E2" w:rsidRPr="00492A43">
        <w:rPr>
          <w:noProof/>
        </w:rPr>
        <w:t xml:space="preserve">Implementation of </w:t>
      </w:r>
      <w:r w:rsidR="0071685A" w:rsidRPr="00492A43">
        <w:rPr>
          <w:noProof/>
        </w:rPr>
        <w:t xml:space="preserve">the </w:t>
      </w:r>
      <w:r w:rsidR="00554DAE" w:rsidRPr="00492A43">
        <w:rPr>
          <w:noProof/>
        </w:rPr>
        <w:t xml:space="preserve">Union </w:t>
      </w:r>
      <w:r w:rsidR="006A41E2" w:rsidRPr="00492A43">
        <w:rPr>
          <w:i/>
          <w:noProof/>
        </w:rPr>
        <w:t>acquis</w:t>
      </w:r>
      <w:r w:rsidR="006A41E2" w:rsidRPr="00492A43">
        <w:rPr>
          <w:noProof/>
        </w:rPr>
        <w:t xml:space="preserve"> – </w:t>
      </w:r>
      <w:r w:rsidR="001D175D" w:rsidRPr="00492A43">
        <w:rPr>
          <w:noProof/>
        </w:rPr>
        <w:t>A</w:t>
      </w:r>
      <w:r w:rsidR="006A41E2" w:rsidRPr="00492A43">
        <w:rPr>
          <w:noProof/>
        </w:rPr>
        <w:t>rticle 30(2)</w:t>
      </w:r>
      <w:r w:rsidR="002F1935" w:rsidRPr="00492A43">
        <w:rPr>
          <w:noProof/>
        </w:rPr>
        <w:t>,</w:t>
      </w:r>
      <w:r w:rsidR="006A41E2" w:rsidRPr="00492A43">
        <w:rPr>
          <w:noProof/>
        </w:rPr>
        <w:t xml:space="preserve"> point (d)</w:t>
      </w:r>
      <w:r w:rsidR="002F1935" w:rsidRPr="00492A43">
        <w:rPr>
          <w:noProof/>
        </w:rPr>
        <w:t>,</w:t>
      </w:r>
      <w:r w:rsidR="006A41E2" w:rsidRPr="00492A43">
        <w:rPr>
          <w:noProof/>
        </w:rPr>
        <w:t xml:space="preserve"> of Regulation (EU) 2021/1149</w:t>
      </w:r>
    </w:p>
    <w:p w14:paraId="3E5F6402" w14:textId="707D0A1D" w:rsidR="006A41E2" w:rsidRPr="006A41E2" w:rsidRDefault="0060652B" w:rsidP="006A41E2">
      <w:pPr>
        <w:rPr>
          <w:noProof/>
          <w:sz w:val="22"/>
        </w:rPr>
      </w:pPr>
      <w:r>
        <w:rPr>
          <w:noProof/>
          <w:sz w:val="22"/>
        </w:rPr>
        <w:t>D</w:t>
      </w:r>
      <w:r w:rsidR="006A41E2" w:rsidRPr="006A41E2">
        <w:rPr>
          <w:noProof/>
          <w:sz w:val="22"/>
        </w:rPr>
        <w:t xml:space="preserve">escribe </w:t>
      </w:r>
      <w:r w:rsidR="00C56E81">
        <w:rPr>
          <w:noProof/>
          <w:sz w:val="22"/>
        </w:rPr>
        <w:t xml:space="preserve">how, </w:t>
      </w:r>
      <w:r w:rsidR="00C56E81" w:rsidRPr="006A41E2">
        <w:rPr>
          <w:noProof/>
          <w:sz w:val="22"/>
        </w:rPr>
        <w:t>during the accounting year</w:t>
      </w:r>
      <w:r w:rsidR="00C56E81">
        <w:rPr>
          <w:noProof/>
          <w:sz w:val="22"/>
        </w:rPr>
        <w:t>,</w:t>
      </w:r>
      <w:r w:rsidR="00C56E81" w:rsidRPr="006A41E2">
        <w:rPr>
          <w:noProof/>
          <w:sz w:val="22"/>
        </w:rPr>
        <w:t xml:space="preserve"> </w:t>
      </w:r>
      <w:r w:rsidR="006A41E2" w:rsidRPr="006A41E2">
        <w:rPr>
          <w:noProof/>
          <w:sz w:val="22"/>
        </w:rPr>
        <w:t xml:space="preserve">the programme </w:t>
      </w:r>
      <w:r w:rsidR="00C56E81">
        <w:rPr>
          <w:noProof/>
          <w:sz w:val="22"/>
        </w:rPr>
        <w:t xml:space="preserve">contributed </w:t>
      </w:r>
      <w:r w:rsidR="006A41E2" w:rsidRPr="006A41E2">
        <w:rPr>
          <w:noProof/>
          <w:sz w:val="22"/>
        </w:rPr>
        <w:t xml:space="preserve">to </w:t>
      </w:r>
      <w:r w:rsidR="00C56E81">
        <w:rPr>
          <w:noProof/>
          <w:sz w:val="22"/>
        </w:rPr>
        <w:t>implementing</w:t>
      </w:r>
      <w:r w:rsidR="006A41E2" w:rsidRPr="006A41E2">
        <w:rPr>
          <w:noProof/>
          <w:sz w:val="22"/>
        </w:rPr>
        <w:t xml:space="preserve"> the relevant </w:t>
      </w:r>
      <w:r w:rsidR="00554DAE">
        <w:rPr>
          <w:noProof/>
          <w:sz w:val="22"/>
        </w:rPr>
        <w:t>Union</w:t>
      </w:r>
      <w:r w:rsidR="00554DAE" w:rsidRPr="006A41E2">
        <w:rPr>
          <w:noProof/>
          <w:sz w:val="22"/>
        </w:rPr>
        <w:t> </w:t>
      </w:r>
      <w:r w:rsidR="006A41E2" w:rsidRPr="007027D4">
        <w:rPr>
          <w:i/>
          <w:noProof/>
          <w:sz w:val="22"/>
        </w:rPr>
        <w:t>acquis</w:t>
      </w:r>
      <w:r w:rsidR="006A41E2" w:rsidRPr="006A41E2">
        <w:rPr>
          <w:noProof/>
          <w:sz w:val="22"/>
        </w:rPr>
        <w:t> </w:t>
      </w:r>
      <w:r w:rsidR="00C56E81">
        <w:rPr>
          <w:noProof/>
          <w:sz w:val="22"/>
        </w:rPr>
        <w:t xml:space="preserve">(the body of </w:t>
      </w:r>
      <w:r w:rsidR="00554DAE">
        <w:rPr>
          <w:noProof/>
          <w:sz w:val="22"/>
        </w:rPr>
        <w:t xml:space="preserve">Union </w:t>
      </w:r>
      <w:r w:rsidR="00C56E81">
        <w:rPr>
          <w:noProof/>
          <w:sz w:val="22"/>
        </w:rPr>
        <w:t xml:space="preserve">law) </w:t>
      </w:r>
      <w:r w:rsidR="006A41E2" w:rsidRPr="006A41E2">
        <w:rPr>
          <w:noProof/>
          <w:sz w:val="22"/>
        </w:rPr>
        <w:t xml:space="preserve">on security and exchange of relevant information, </w:t>
      </w:r>
      <w:r w:rsidR="00C56E81">
        <w:rPr>
          <w:noProof/>
          <w:sz w:val="22"/>
        </w:rPr>
        <w:t>and to</w:t>
      </w:r>
      <w:r w:rsidR="006A41E2" w:rsidRPr="006A41E2">
        <w:rPr>
          <w:noProof/>
          <w:sz w:val="22"/>
        </w:rPr>
        <w:t xml:space="preserve"> any relevant action plans.</w:t>
      </w:r>
    </w:p>
    <w:tbl>
      <w:tblPr>
        <w:tblStyle w:val="TableGrid"/>
        <w:tblW w:w="0" w:type="auto"/>
        <w:tblLook w:val="04A0" w:firstRow="1" w:lastRow="0" w:firstColumn="1" w:lastColumn="0" w:noHBand="0" w:noVBand="1"/>
      </w:tblPr>
      <w:tblGrid>
        <w:gridCol w:w="9289"/>
      </w:tblGrid>
      <w:tr w:rsidR="006A41E2" w14:paraId="61641F95" w14:textId="77777777" w:rsidTr="00E45665">
        <w:tc>
          <w:tcPr>
            <w:tcW w:w="9289" w:type="dxa"/>
          </w:tcPr>
          <w:p w14:paraId="24A73310" w14:textId="77777777" w:rsidR="00774B6C" w:rsidRDefault="00620FD9" w:rsidP="00492A43">
            <w:pPr>
              <w:pStyle w:val="Institutionquisigne"/>
              <w:spacing w:before="0"/>
            </w:pPr>
            <w:r>
              <w:t>Ensuring the uniform application of the Union acquis on security by supporting the exchange of relevant information is implemented under</w:t>
            </w:r>
            <w:r w:rsidR="00774B6C">
              <w:t>:</w:t>
            </w:r>
          </w:p>
          <w:p w14:paraId="2C6BA33F" w14:textId="77777777" w:rsidR="00774B6C" w:rsidRDefault="00620FD9" w:rsidP="00774B6C">
            <w:pPr>
              <w:pStyle w:val="Institutionquisigne"/>
              <w:numPr>
                <w:ilvl w:val="0"/>
                <w:numId w:val="28"/>
              </w:numPr>
              <w:spacing w:before="0"/>
            </w:pPr>
            <w:r>
              <w:t>the Automated Biometric Identification project (ISF-075-110)</w:t>
            </w:r>
            <w:r w:rsidR="00774B6C">
              <w:t>,</w:t>
            </w:r>
            <w:r>
              <w:t xml:space="preserve"> which will </w:t>
            </w:r>
            <w:r w:rsidR="00822FE7">
              <w:t>integrate</w:t>
            </w:r>
            <w:r>
              <w:t xml:space="preserve"> national and international workfl</w:t>
            </w:r>
            <w:r w:rsidR="00492A43">
              <w:t>ows</w:t>
            </w:r>
            <w:r w:rsidR="00774B6C">
              <w:t>;</w:t>
            </w:r>
          </w:p>
          <w:p w14:paraId="651EA9B5" w14:textId="77777777" w:rsidR="00774B6C" w:rsidRDefault="00774B6C" w:rsidP="00774B6C">
            <w:pPr>
              <w:pStyle w:val="Institutionquisigne"/>
              <w:numPr>
                <w:ilvl w:val="0"/>
                <w:numId w:val="28"/>
              </w:numPr>
              <w:spacing w:before="0"/>
            </w:pPr>
            <w:r>
              <w:t>the</w:t>
            </w:r>
            <w:r w:rsidR="00492A43">
              <w:t xml:space="preserve"> ISF-076-102 project </w:t>
            </w:r>
            <w:r>
              <w:t>which focuses on</w:t>
            </w:r>
            <w:r w:rsidR="00492A43">
              <w:t xml:space="preserve"> the </w:t>
            </w:r>
            <w:r w:rsidR="00822FE7">
              <w:t>accreditation</w:t>
            </w:r>
            <w:r w:rsidR="00492A43">
              <w:t xml:space="preserve"> of the technical and scientific laboratories of the Federal Judicial Police, in line with the relevant EU Directives</w:t>
            </w:r>
            <w:r>
              <w:t>;</w:t>
            </w:r>
          </w:p>
          <w:p w14:paraId="6C8C674E" w14:textId="1CA21CFD" w:rsidR="00620FD9" w:rsidRPr="00620FD9" w:rsidRDefault="00492A43" w:rsidP="00774B6C">
            <w:pPr>
              <w:pStyle w:val="Institutionquisigne"/>
              <w:numPr>
                <w:ilvl w:val="0"/>
                <w:numId w:val="28"/>
              </w:numPr>
              <w:spacing w:before="0"/>
            </w:pPr>
            <w:r>
              <w:t>and the ISF-086-112 project which aims at d</w:t>
            </w:r>
            <w:r w:rsidRPr="00492A43">
              <w:t>eveloping IT security plans (EU risk assessments), Data Protection Impact Assessments (DPIA) and their annual updates, and/or feasibility studies before the uniform use of sensitive data via IT secure storage, for example in the context of PNR, ABIS, Prüm, etc.</w:t>
            </w:r>
          </w:p>
        </w:tc>
      </w:tr>
    </w:tbl>
    <w:p w14:paraId="591C87E5" w14:textId="4971F506" w:rsidR="006A41E2" w:rsidRPr="006A41E2" w:rsidRDefault="004C5B3C" w:rsidP="004C5B3C">
      <w:pPr>
        <w:pStyle w:val="ManualHeading1"/>
        <w:rPr>
          <w:noProof/>
        </w:rPr>
      </w:pPr>
      <w:r w:rsidRPr="004C5B3C">
        <w:t>4.</w:t>
      </w:r>
      <w:r w:rsidRPr="004C5B3C">
        <w:tab/>
      </w:r>
      <w:r w:rsidR="006A41E2" w:rsidRPr="00D378BC">
        <w:rPr>
          <w:noProof/>
        </w:rPr>
        <w:t>Communication and Visibility – Article 30(2)</w:t>
      </w:r>
      <w:r w:rsidR="008B1A84" w:rsidRPr="00D378BC">
        <w:rPr>
          <w:noProof/>
        </w:rPr>
        <w:t>,</w:t>
      </w:r>
      <w:r w:rsidR="006A41E2" w:rsidRPr="00D378BC">
        <w:rPr>
          <w:noProof/>
        </w:rPr>
        <w:t xml:space="preserve"> point (e)</w:t>
      </w:r>
      <w:r w:rsidR="008B1A84" w:rsidRPr="00D378BC">
        <w:rPr>
          <w:noProof/>
        </w:rPr>
        <w:t>,</w:t>
      </w:r>
      <w:r w:rsidR="006A41E2" w:rsidRPr="00D378BC">
        <w:rPr>
          <w:noProof/>
        </w:rPr>
        <w:t xml:space="preserve"> of Regulation (EU) 2021/1149</w:t>
      </w:r>
    </w:p>
    <w:p w14:paraId="36964431" w14:textId="77777777" w:rsidR="006A41E2" w:rsidRPr="006A41E2" w:rsidRDefault="001B037F" w:rsidP="006A41E2">
      <w:pPr>
        <w:rPr>
          <w:noProof/>
          <w:sz w:val="22"/>
        </w:rPr>
      </w:pPr>
      <w:r>
        <w:rPr>
          <w:noProof/>
          <w:sz w:val="22"/>
        </w:rPr>
        <w:t>D</w:t>
      </w:r>
      <w:r w:rsidR="006A41E2" w:rsidRPr="006A41E2">
        <w:rPr>
          <w:noProof/>
          <w:sz w:val="22"/>
        </w:rPr>
        <w:t xml:space="preserve">escribe </w:t>
      </w:r>
      <w:r w:rsidR="00C56E81">
        <w:rPr>
          <w:noProof/>
          <w:sz w:val="22"/>
        </w:rPr>
        <w:t xml:space="preserve">how </w:t>
      </w:r>
      <w:r w:rsidR="006A41E2" w:rsidRPr="006A41E2">
        <w:rPr>
          <w:noProof/>
          <w:sz w:val="22"/>
        </w:rPr>
        <w:t xml:space="preserve">communication and visibility actions </w:t>
      </w:r>
      <w:r w:rsidR="00C56E81">
        <w:rPr>
          <w:noProof/>
          <w:sz w:val="22"/>
        </w:rPr>
        <w:t xml:space="preserve">were carried out </w:t>
      </w:r>
      <w:r w:rsidR="006A41E2" w:rsidRPr="006A41E2">
        <w:rPr>
          <w:noProof/>
          <w:sz w:val="22"/>
        </w:rPr>
        <w:t xml:space="preserve">during the accounting year. In particular, refer to any progress made in relation to the objectives </w:t>
      </w:r>
      <w:r w:rsidR="0071685A">
        <w:rPr>
          <w:noProof/>
          <w:sz w:val="22"/>
        </w:rPr>
        <w:t>set out</w:t>
      </w:r>
      <w:r w:rsidR="0071685A" w:rsidRPr="006A41E2">
        <w:rPr>
          <w:noProof/>
          <w:sz w:val="22"/>
        </w:rPr>
        <w:t xml:space="preserve"> </w:t>
      </w:r>
      <w:r w:rsidR="006A41E2" w:rsidRPr="006A41E2">
        <w:rPr>
          <w:noProof/>
          <w:sz w:val="22"/>
        </w:rPr>
        <w:t>in the communication strategy</w:t>
      </w:r>
      <w:r w:rsidR="00C56E81">
        <w:rPr>
          <w:noProof/>
          <w:sz w:val="22"/>
        </w:rPr>
        <w:t>,</w:t>
      </w:r>
      <w:r w:rsidR="006A41E2" w:rsidRPr="006A41E2">
        <w:rPr>
          <w:noProof/>
          <w:sz w:val="22"/>
        </w:rPr>
        <w:t xml:space="preserve"> as measured by the relevant indicators and their targets. If relevant, describe </w:t>
      </w:r>
      <w:r w:rsidR="00C56E81">
        <w:rPr>
          <w:noProof/>
          <w:sz w:val="22"/>
        </w:rPr>
        <w:t>any</w:t>
      </w:r>
      <w:r w:rsidR="006A41E2" w:rsidRPr="006A41E2">
        <w:rPr>
          <w:noProof/>
          <w:sz w:val="22"/>
        </w:rPr>
        <w:t xml:space="preserve"> good practices in reaching out to the target groups and/ or disseminating and exploiting the results of the projects.</w:t>
      </w:r>
    </w:p>
    <w:tbl>
      <w:tblPr>
        <w:tblStyle w:val="TableGrid"/>
        <w:tblW w:w="0" w:type="auto"/>
        <w:tblLook w:val="04A0" w:firstRow="1" w:lastRow="0" w:firstColumn="1" w:lastColumn="0" w:noHBand="0" w:noVBand="1"/>
      </w:tblPr>
      <w:tblGrid>
        <w:gridCol w:w="9289"/>
      </w:tblGrid>
      <w:tr w:rsidR="006A41E2" w:rsidRPr="00062BA0" w14:paraId="799D0E7D" w14:textId="77777777" w:rsidTr="00E45665">
        <w:tc>
          <w:tcPr>
            <w:tcW w:w="9289" w:type="dxa"/>
          </w:tcPr>
          <w:p w14:paraId="7B471743" w14:textId="77777777" w:rsidR="00062BA0" w:rsidRPr="003035B0" w:rsidRDefault="00062BA0" w:rsidP="00062BA0">
            <w:pPr>
              <w:pStyle w:val="Personnequisigne"/>
              <w:numPr>
                <w:ilvl w:val="0"/>
                <w:numId w:val="33"/>
              </w:numPr>
              <w:rPr>
                <w:szCs w:val="24"/>
                <w:lang w:val="fr-BE"/>
              </w:rPr>
            </w:pPr>
            <w:r w:rsidRPr="003035B0">
              <w:rPr>
                <w:szCs w:val="24"/>
                <w:lang w:val="fr-BE"/>
              </w:rPr>
              <w:t xml:space="preserve">Site internet </w:t>
            </w:r>
            <w:r>
              <w:rPr>
                <w:szCs w:val="24"/>
                <w:lang w:val="fr-BE"/>
              </w:rPr>
              <w:t>(</w:t>
            </w:r>
            <w:r w:rsidRPr="003035B0">
              <w:rPr>
                <w:szCs w:val="24"/>
                <w:lang w:val="fr-BE"/>
              </w:rPr>
              <w:t>ar</w:t>
            </w:r>
            <w:r>
              <w:rPr>
                <w:szCs w:val="24"/>
                <w:lang w:val="fr-BE"/>
              </w:rPr>
              <w:t>t.</w:t>
            </w:r>
            <w:r w:rsidRPr="003035B0">
              <w:rPr>
                <w:szCs w:val="24"/>
                <w:lang w:val="fr-BE"/>
              </w:rPr>
              <w:t xml:space="preserve"> 49§1</w:t>
            </w:r>
            <w:r>
              <w:rPr>
                <w:szCs w:val="24"/>
                <w:lang w:val="fr-BE"/>
              </w:rPr>
              <w:t xml:space="preserve"> du Règlmenent (UE) 2021/1060)</w:t>
            </w:r>
          </w:p>
          <w:p w14:paraId="71546491" w14:textId="77777777" w:rsidR="00062BA0" w:rsidRPr="00333009" w:rsidRDefault="00062BA0" w:rsidP="00062BA0">
            <w:pPr>
              <w:rPr>
                <w:i/>
                <w:szCs w:val="24"/>
                <w:lang w:val="fr-BE"/>
              </w:rPr>
            </w:pPr>
            <w:r w:rsidRPr="00333009">
              <w:rPr>
                <w:i/>
                <w:szCs w:val="24"/>
                <w:lang w:val="fr-BE"/>
              </w:rPr>
              <w:t>Le site internet de l’autorité de gestion a été adapté pour accueillir les pages relatives à la programmation 2021-2027. Toutes les informations utiles aux bénéficiaires s’y trouvent (Règlements AMIF, ISF, BMVI, CPR, Basic acts of the 2021-2027 Funds), les programmes nationaux (AMIF, ISF, BMVI), des fiches explicatives concernant les indicateurs, le budget du projet, l’éligibilité des dépenses, le rapportage, les paiements, etc., le calendrier des appels à proposition (art. 49§2), la liste des projets sélectionnés (art. 49§3), les transmissions de données à la Commission (art. 42), les données et informations partagées avec le Comité de suivi (art. 38). A l’avenir, les évaluations faites par l’autorité de gestion (mid-term + ex-post) et le rapport de performance final (article 43$4) feront également l’objet d’une publication.</w:t>
            </w:r>
          </w:p>
          <w:p w14:paraId="4DA2F900" w14:textId="77777777" w:rsidR="00062BA0" w:rsidRPr="00762921" w:rsidRDefault="00062BA0" w:rsidP="00062BA0">
            <w:pPr>
              <w:pStyle w:val="ListParagraph"/>
              <w:numPr>
                <w:ilvl w:val="0"/>
                <w:numId w:val="33"/>
              </w:numPr>
              <w:rPr>
                <w:i/>
                <w:szCs w:val="24"/>
                <w:lang w:val="fr-BE"/>
              </w:rPr>
            </w:pPr>
            <w:r w:rsidRPr="00762921">
              <w:rPr>
                <w:i/>
                <w:szCs w:val="24"/>
                <w:lang w:val="fr-BE"/>
              </w:rPr>
              <w:t>Portail unique</w:t>
            </w:r>
            <w:r>
              <w:rPr>
                <w:i/>
                <w:szCs w:val="24"/>
                <w:lang w:val="fr-BE"/>
              </w:rPr>
              <w:t xml:space="preserve"> (art. </w:t>
            </w:r>
            <w:r w:rsidRPr="00762921">
              <w:rPr>
                <w:i/>
                <w:szCs w:val="24"/>
                <w:lang w:val="fr-BE"/>
              </w:rPr>
              <w:t>49§1</w:t>
            </w:r>
            <w:r>
              <w:rPr>
                <w:i/>
                <w:szCs w:val="24"/>
                <w:lang w:val="fr-BE"/>
              </w:rPr>
              <w:t xml:space="preserve"> du </w:t>
            </w:r>
            <w:r w:rsidRPr="00345E16">
              <w:rPr>
                <w:i/>
                <w:szCs w:val="24"/>
                <w:lang w:val="fr-BE"/>
              </w:rPr>
              <w:t>Règlmenent (UE) 2021/1060</w:t>
            </w:r>
            <w:r>
              <w:rPr>
                <w:i/>
                <w:szCs w:val="24"/>
                <w:lang w:val="fr-BE"/>
              </w:rPr>
              <w:t>)</w:t>
            </w:r>
          </w:p>
          <w:p w14:paraId="00374541" w14:textId="77777777" w:rsidR="00062BA0" w:rsidRDefault="00062BA0" w:rsidP="00062BA0">
            <w:pPr>
              <w:rPr>
                <w:i/>
                <w:szCs w:val="24"/>
                <w:lang w:val="fr-BE"/>
              </w:rPr>
            </w:pPr>
            <w:r>
              <w:rPr>
                <w:i/>
                <w:szCs w:val="24"/>
                <w:lang w:val="fr-BE"/>
              </w:rPr>
              <w:t xml:space="preserve">Un </w:t>
            </w:r>
            <w:r w:rsidRPr="00762921">
              <w:rPr>
                <w:i/>
                <w:szCs w:val="24"/>
                <w:lang w:val="fr-BE"/>
              </w:rPr>
              <w:t>portail unique permettant d’accéder à tous les programmes</w:t>
            </w:r>
            <w:r>
              <w:rPr>
                <w:i/>
                <w:szCs w:val="24"/>
                <w:lang w:val="fr-BE"/>
              </w:rPr>
              <w:t xml:space="preserve"> a été mis en place </w:t>
            </w:r>
            <w:r w:rsidRPr="00762921">
              <w:rPr>
                <w:i/>
                <w:szCs w:val="24"/>
                <w:lang w:val="fr-BE"/>
              </w:rPr>
              <w:t>par le SP Wallonie. Le site «</w:t>
            </w:r>
            <w:r>
              <w:rPr>
                <w:i/>
                <w:szCs w:val="24"/>
                <w:lang w:val="fr-BE"/>
              </w:rPr>
              <w:t> </w:t>
            </w:r>
            <w:r w:rsidRPr="00762921">
              <w:rPr>
                <w:i/>
                <w:szCs w:val="24"/>
                <w:lang w:val="fr-BE"/>
              </w:rPr>
              <w:t>Europe in Belgium</w:t>
            </w:r>
            <w:r>
              <w:rPr>
                <w:i/>
                <w:szCs w:val="24"/>
                <w:lang w:val="fr-BE"/>
              </w:rPr>
              <w:t> </w:t>
            </w:r>
            <w:r w:rsidRPr="00762921">
              <w:rPr>
                <w:i/>
                <w:szCs w:val="24"/>
                <w:lang w:val="fr-BE"/>
              </w:rPr>
              <w:t xml:space="preserve">» a été adapté pour répondre aux exigences de la nouvelle programmation. </w:t>
            </w:r>
          </w:p>
          <w:p w14:paraId="63687054" w14:textId="77777777" w:rsidR="00062BA0" w:rsidRDefault="00062BA0" w:rsidP="00062BA0">
            <w:pPr>
              <w:pStyle w:val="ListParagraph"/>
              <w:numPr>
                <w:ilvl w:val="0"/>
                <w:numId w:val="33"/>
              </w:numPr>
              <w:rPr>
                <w:i/>
                <w:szCs w:val="24"/>
                <w:lang w:val="fr-BE"/>
              </w:rPr>
            </w:pPr>
            <w:r w:rsidRPr="00A8141C">
              <w:rPr>
                <w:i/>
                <w:szCs w:val="24"/>
                <w:lang w:val="fr-BE"/>
              </w:rPr>
              <w:t>Communication Officer</w:t>
            </w:r>
            <w:r>
              <w:rPr>
                <w:i/>
                <w:szCs w:val="24"/>
                <w:lang w:val="fr-BE"/>
              </w:rPr>
              <w:t xml:space="preserve"> (art. 48 du </w:t>
            </w:r>
            <w:r w:rsidRPr="00345E16">
              <w:rPr>
                <w:i/>
                <w:szCs w:val="24"/>
                <w:lang w:val="fr-BE"/>
              </w:rPr>
              <w:t>Règlmenent (UE) 2021/1060</w:t>
            </w:r>
            <w:r>
              <w:rPr>
                <w:i/>
                <w:szCs w:val="24"/>
                <w:lang w:val="fr-BE"/>
              </w:rPr>
              <w:t>)</w:t>
            </w:r>
          </w:p>
          <w:p w14:paraId="684FCE33" w14:textId="77777777" w:rsidR="00D378BC" w:rsidRDefault="00062BA0" w:rsidP="00062BA0">
            <w:pPr>
              <w:pStyle w:val="Institutionquisigne"/>
              <w:spacing w:before="0"/>
              <w:rPr>
                <w:szCs w:val="24"/>
                <w:lang w:val="fr-BE"/>
              </w:rPr>
            </w:pPr>
            <w:r>
              <w:rPr>
                <w:szCs w:val="24"/>
                <w:lang w:val="fr-BE"/>
              </w:rPr>
              <w:t>L</w:t>
            </w:r>
            <w:r w:rsidRPr="00465E5F">
              <w:rPr>
                <w:szCs w:val="24"/>
                <w:lang w:val="fr-BE"/>
              </w:rPr>
              <w:t>’autorité de gestion a désigné en son sein un responsable de communication pour les trois programmes</w:t>
            </w:r>
            <w:r>
              <w:rPr>
                <w:szCs w:val="24"/>
                <w:lang w:val="fr-BE"/>
              </w:rPr>
              <w:t xml:space="preserve"> (AMIF, ISF et BMVI)</w:t>
            </w:r>
            <w:r w:rsidRPr="00465E5F">
              <w:rPr>
                <w:szCs w:val="24"/>
                <w:lang w:val="fr-BE"/>
              </w:rPr>
              <w:t>. Il participe aux échanges d’informations avec les autres</w:t>
            </w:r>
            <w:r>
              <w:rPr>
                <w:szCs w:val="24"/>
                <w:lang w:val="fr-BE"/>
              </w:rPr>
              <w:t xml:space="preserve"> </w:t>
            </w:r>
            <w:r w:rsidRPr="00465E5F">
              <w:rPr>
                <w:szCs w:val="24"/>
                <w:lang w:val="fr-BE"/>
              </w:rPr>
              <w:t>autorités de gestion, le coordinateur national en matière de communication et la Commission européenne en participant notamment aux « country team meetings » (deux fois par an</w:t>
            </w:r>
            <w:r>
              <w:rPr>
                <w:szCs w:val="24"/>
                <w:lang w:val="fr-BE"/>
              </w:rPr>
              <w:t>). Il</w:t>
            </w:r>
            <w:r w:rsidRPr="00B97059">
              <w:rPr>
                <w:szCs w:val="24"/>
                <w:lang w:val="fr-BE"/>
              </w:rPr>
              <w:t xml:space="preserve"> informe chaque fois que nécessaire les bénéficiaires quant à leurs obliga</w:t>
            </w:r>
            <w:r>
              <w:rPr>
                <w:szCs w:val="24"/>
                <w:lang w:val="fr-BE"/>
              </w:rPr>
              <w:t>tions de publicité</w:t>
            </w:r>
            <w:r w:rsidRPr="00B97059">
              <w:rPr>
                <w:szCs w:val="24"/>
                <w:lang w:val="fr-BE"/>
              </w:rPr>
              <w:t>. De nombreuses réunions teams ont déjà été organisées à cet égard (&gt;20). En outre, une fiche explicative a été publiée sur le site internet de l’autorité d</w:t>
            </w:r>
            <w:r>
              <w:rPr>
                <w:szCs w:val="24"/>
                <w:lang w:val="fr-BE"/>
              </w:rPr>
              <w:t>e gestion « </w:t>
            </w:r>
            <w:r w:rsidRPr="00B97059">
              <w:rPr>
                <w:szCs w:val="24"/>
                <w:lang w:val="fr-BE"/>
              </w:rPr>
              <w:t>Obligations de publicité</w:t>
            </w:r>
            <w:r>
              <w:rPr>
                <w:szCs w:val="24"/>
                <w:lang w:val="fr-BE"/>
              </w:rPr>
              <w:t> </w:t>
            </w:r>
            <w:r w:rsidRPr="00B97059">
              <w:rPr>
                <w:szCs w:val="24"/>
                <w:lang w:val="fr-BE"/>
              </w:rPr>
              <w:t>». Les outils préparés par la Commission pour aider les bénéficiaires à cet égard sont également mis en évidence sur le site internet ( EU Commission Logo Download Center + Générateur d'affiches).</w:t>
            </w:r>
            <w:r>
              <w:rPr>
                <w:szCs w:val="24"/>
                <w:lang w:val="fr-BE"/>
              </w:rPr>
              <w:t xml:space="preserve"> Des</w:t>
            </w:r>
            <w:r w:rsidRPr="00B97059">
              <w:rPr>
                <w:szCs w:val="24"/>
                <w:lang w:val="fr-BE"/>
              </w:rPr>
              <w:t xml:space="preserve"> contrôle</w:t>
            </w:r>
            <w:r>
              <w:rPr>
                <w:szCs w:val="24"/>
                <w:lang w:val="fr-BE"/>
              </w:rPr>
              <w:t>s</w:t>
            </w:r>
            <w:r w:rsidRPr="00B97059">
              <w:rPr>
                <w:szCs w:val="24"/>
                <w:lang w:val="fr-BE"/>
              </w:rPr>
              <w:t xml:space="preserve"> des obligations de publicité des bénéficiaires ont déjà eu lieu dans le cadre de leur rapportage intermédiaire (tous les six mois).</w:t>
            </w:r>
          </w:p>
          <w:p w14:paraId="3DC2EA23" w14:textId="799871B9" w:rsidR="00062BA0" w:rsidRPr="00062BA0" w:rsidRDefault="00062BA0" w:rsidP="00062BA0">
            <w:pPr>
              <w:pStyle w:val="Personnequisigne"/>
              <w:rPr>
                <w:lang w:val="fr-BE"/>
              </w:rPr>
            </w:pPr>
          </w:p>
        </w:tc>
      </w:tr>
    </w:tbl>
    <w:p w14:paraId="1941C015" w14:textId="77777777" w:rsidR="006A41E2" w:rsidRPr="006A41E2" w:rsidRDefault="001B037F" w:rsidP="006A41E2">
      <w:pPr>
        <w:rPr>
          <w:noProof/>
          <w:sz w:val="22"/>
        </w:rPr>
      </w:pPr>
      <w:r>
        <w:rPr>
          <w:noProof/>
          <w:sz w:val="22"/>
        </w:rPr>
        <w:t>P</w:t>
      </w:r>
      <w:r w:rsidR="006A41E2" w:rsidRPr="006A41E2">
        <w:rPr>
          <w:noProof/>
          <w:sz w:val="22"/>
        </w:rPr>
        <w:t>rovide a link to the website portal referred to in Article 46</w:t>
      </w:r>
      <w:r w:rsidR="003E338B">
        <w:rPr>
          <w:noProof/>
          <w:sz w:val="22"/>
        </w:rPr>
        <w:t>,</w:t>
      </w:r>
      <w:r w:rsidR="00093D5B">
        <w:rPr>
          <w:noProof/>
          <w:sz w:val="22"/>
        </w:rPr>
        <w:t xml:space="preserve"> </w:t>
      </w:r>
      <w:r w:rsidR="003E338B" w:rsidRPr="006A41E2">
        <w:rPr>
          <w:noProof/>
          <w:sz w:val="22"/>
        </w:rPr>
        <w:t>point (b)</w:t>
      </w:r>
      <w:r w:rsidR="003E338B">
        <w:rPr>
          <w:noProof/>
          <w:sz w:val="22"/>
        </w:rPr>
        <w:t>,</w:t>
      </w:r>
      <w:r w:rsidR="003E338B" w:rsidRPr="006A41E2">
        <w:rPr>
          <w:noProof/>
          <w:sz w:val="22"/>
        </w:rPr>
        <w:t xml:space="preserve"> </w:t>
      </w:r>
      <w:r w:rsidR="006A41E2" w:rsidRPr="006A41E2">
        <w:rPr>
          <w:noProof/>
          <w:sz w:val="22"/>
        </w:rPr>
        <w:t xml:space="preserve">of </w:t>
      </w:r>
      <w:r w:rsidR="003E338B" w:rsidRPr="003E338B">
        <w:rPr>
          <w:noProof/>
          <w:sz w:val="22"/>
        </w:rPr>
        <w:t>Regulation (EU) 2021/1060</w:t>
      </w:r>
      <w:r>
        <w:rPr>
          <w:noProof/>
          <w:sz w:val="22"/>
        </w:rPr>
        <w:t xml:space="preserve"> </w:t>
      </w:r>
      <w:r w:rsidR="006A41E2" w:rsidRPr="006A41E2">
        <w:rPr>
          <w:noProof/>
          <w:sz w:val="22"/>
        </w:rPr>
        <w:t>and, if different, to the website referred to in Article 49(1)</w:t>
      </w:r>
      <w:r w:rsidR="003E338B">
        <w:rPr>
          <w:noProof/>
          <w:sz w:val="22"/>
        </w:rPr>
        <w:t xml:space="preserve"> of that Regulation</w:t>
      </w:r>
    </w:p>
    <w:tbl>
      <w:tblPr>
        <w:tblStyle w:val="TableGrid"/>
        <w:tblW w:w="0" w:type="auto"/>
        <w:tblLook w:val="04A0" w:firstRow="1" w:lastRow="0" w:firstColumn="1" w:lastColumn="0" w:noHBand="0" w:noVBand="1"/>
      </w:tblPr>
      <w:tblGrid>
        <w:gridCol w:w="9289"/>
      </w:tblGrid>
      <w:tr w:rsidR="006A41E2" w:rsidRPr="00062BA0" w14:paraId="6B0C1F99" w14:textId="77777777" w:rsidTr="00E45665">
        <w:tc>
          <w:tcPr>
            <w:tcW w:w="9289" w:type="dxa"/>
          </w:tcPr>
          <w:p w14:paraId="43620B58" w14:textId="77777777" w:rsidR="00062BA0" w:rsidRDefault="00333009" w:rsidP="00062BA0">
            <w:pPr>
              <w:pStyle w:val="Institutionquisigne"/>
            </w:pPr>
            <w:hyperlink r:id="rId18" w:history="1">
              <w:r w:rsidR="00062BA0" w:rsidRPr="00262589">
                <w:rPr>
                  <w:rStyle w:val="Hyperlink"/>
                </w:rPr>
                <w:t>h</w:t>
              </w:r>
              <w:bookmarkStart w:id="0" w:name="_GoBack"/>
              <w:bookmarkEnd w:id="0"/>
              <w:r w:rsidR="00062BA0" w:rsidRPr="00262589">
                <w:rPr>
                  <w:rStyle w:val="Hyperlink"/>
                </w:rPr>
                <w:t>ttps://amif-isf.be/</w:t>
              </w:r>
            </w:hyperlink>
            <w:r w:rsidR="00062BA0" w:rsidRPr="00262589">
              <w:t xml:space="preserve"> </w:t>
            </w:r>
            <w:r w:rsidR="00062BA0">
              <w:t>website of the Managing Authority</w:t>
            </w:r>
          </w:p>
          <w:p w14:paraId="3951DACE" w14:textId="77777777" w:rsidR="006A41E2" w:rsidRDefault="00333009" w:rsidP="00062BA0">
            <w:pPr>
              <w:pStyle w:val="Personnequisigne"/>
              <w:rPr>
                <w:lang w:val="fr-BE"/>
              </w:rPr>
            </w:pPr>
            <w:hyperlink r:id="rId19" w:history="1">
              <w:r w:rsidR="00062BA0" w:rsidRPr="00262589">
                <w:rPr>
                  <w:rStyle w:val="Hyperlink"/>
                  <w:lang w:val="fr-BE"/>
                </w:rPr>
                <w:t>https://www.europeinbelgium.be/</w:t>
              </w:r>
            </w:hyperlink>
            <w:r w:rsidR="00062BA0" w:rsidRPr="00262589">
              <w:rPr>
                <w:lang w:val="fr-BE"/>
              </w:rPr>
              <w:t xml:space="preserve"> unique portal</w:t>
            </w:r>
          </w:p>
          <w:p w14:paraId="0A72A40C" w14:textId="1F487233" w:rsidR="00062BA0" w:rsidRPr="00062BA0" w:rsidRDefault="00062BA0" w:rsidP="00062BA0">
            <w:pPr>
              <w:pStyle w:val="Institutionquisigne"/>
              <w:rPr>
                <w:lang w:val="fr-BE"/>
              </w:rPr>
            </w:pPr>
          </w:p>
        </w:tc>
      </w:tr>
    </w:tbl>
    <w:p w14:paraId="4B25161C" w14:textId="060D5B3D" w:rsidR="006A41E2" w:rsidRPr="006A41E2" w:rsidRDefault="004C5B3C" w:rsidP="004C5B3C">
      <w:pPr>
        <w:pStyle w:val="ManualHeading1"/>
        <w:rPr>
          <w:bCs/>
          <w:noProof/>
        </w:rPr>
      </w:pPr>
      <w:r w:rsidRPr="004C5B3C">
        <w:t>5.</w:t>
      </w:r>
      <w:r w:rsidRPr="004C5B3C">
        <w:tab/>
      </w:r>
      <w:r w:rsidR="006A41E2" w:rsidRPr="006A41E2">
        <w:rPr>
          <w:noProof/>
        </w:rPr>
        <w:t>Enabling Conditions and Horizontal principles</w:t>
      </w:r>
    </w:p>
    <w:p w14:paraId="68CE0ECE" w14:textId="28454FA6" w:rsidR="006A41E2" w:rsidRPr="00B028E6" w:rsidRDefault="004C5B3C" w:rsidP="004C5B3C">
      <w:pPr>
        <w:pStyle w:val="ManualHeading2"/>
        <w:rPr>
          <w:noProof/>
        </w:rPr>
      </w:pPr>
      <w:r w:rsidRPr="004C5B3C">
        <w:t>5.1.</w:t>
      </w:r>
      <w:r w:rsidRPr="004C5B3C">
        <w:tab/>
      </w:r>
      <w:r w:rsidR="006A41E2">
        <w:rPr>
          <w:noProof/>
        </w:rPr>
        <w:t xml:space="preserve">Enabling conditions – </w:t>
      </w:r>
      <w:r w:rsidR="006A41E2" w:rsidRPr="002B3B38">
        <w:rPr>
          <w:noProof/>
        </w:rPr>
        <w:t>Article 30(2)</w:t>
      </w:r>
      <w:r w:rsidR="008B1A84">
        <w:rPr>
          <w:noProof/>
        </w:rPr>
        <w:t>,</w:t>
      </w:r>
      <w:r w:rsidR="006A41E2" w:rsidRPr="002B3B38">
        <w:rPr>
          <w:noProof/>
        </w:rPr>
        <w:t xml:space="preserve"> point </w:t>
      </w:r>
      <w:r w:rsidR="006A41E2">
        <w:rPr>
          <w:noProof/>
        </w:rPr>
        <w:t>(</w:t>
      </w:r>
      <w:r w:rsidR="006A41E2" w:rsidRPr="002B3B38">
        <w:rPr>
          <w:noProof/>
        </w:rPr>
        <w:t>f</w:t>
      </w:r>
      <w:r w:rsidR="006A41E2">
        <w:rPr>
          <w:noProof/>
        </w:rPr>
        <w:t>)</w:t>
      </w:r>
      <w:r w:rsidR="008B1A84">
        <w:rPr>
          <w:noProof/>
        </w:rPr>
        <w:t>,</w:t>
      </w:r>
      <w:r w:rsidR="006A41E2" w:rsidRPr="002B3B38">
        <w:rPr>
          <w:noProof/>
        </w:rPr>
        <w:t xml:space="preserve"> of Regulation (EU) 2021/1149</w:t>
      </w:r>
      <w:r w:rsidR="006A41E2">
        <w:rPr>
          <w:noProof/>
        </w:rPr>
        <w:t xml:space="preserve"> </w:t>
      </w:r>
    </w:p>
    <w:p w14:paraId="441ADE7C" w14:textId="77777777" w:rsidR="006A41E2" w:rsidRPr="006A41E2" w:rsidRDefault="001B037F" w:rsidP="006A41E2">
      <w:pPr>
        <w:rPr>
          <w:noProof/>
          <w:sz w:val="22"/>
        </w:rPr>
      </w:pPr>
      <w:r>
        <w:rPr>
          <w:noProof/>
          <w:sz w:val="22"/>
        </w:rPr>
        <w:t>D</w:t>
      </w:r>
      <w:r w:rsidR="00591AB0" w:rsidRPr="004F3B8D">
        <w:rPr>
          <w:noProof/>
          <w:sz w:val="22"/>
        </w:rPr>
        <w:t xml:space="preserve">escribe how </w:t>
      </w:r>
      <w:r w:rsidR="00591AB0">
        <w:rPr>
          <w:noProof/>
          <w:sz w:val="22"/>
        </w:rPr>
        <w:t xml:space="preserve">it was ensured that </w:t>
      </w:r>
      <w:r w:rsidR="00591AB0" w:rsidRPr="004F3B8D">
        <w:rPr>
          <w:noProof/>
          <w:sz w:val="22"/>
        </w:rPr>
        <w:t>the applicable enabling conditions in Annex III of Regulation (EU) 2021/1060 were fulfilled and applied throughout the accounting year, in particular as regards complying with the Charter of Fundamental Rights</w:t>
      </w:r>
      <w:r w:rsidR="00093D5B">
        <w:rPr>
          <w:noProof/>
          <w:sz w:val="22"/>
        </w:rPr>
        <w:t xml:space="preserve"> of the European Union</w:t>
      </w:r>
      <w:r w:rsidR="00C56E81" w:rsidRPr="00C56E81">
        <w:rPr>
          <w:noProof/>
          <w:sz w:val="22"/>
        </w:rPr>
        <w:t xml:space="preserve">. </w:t>
      </w:r>
      <w:r w:rsidR="006A41E2" w:rsidRPr="006A41E2">
        <w:rPr>
          <w:noProof/>
          <w:sz w:val="22"/>
        </w:rPr>
        <w:t xml:space="preserve">If relevant, </w:t>
      </w:r>
      <w:r>
        <w:rPr>
          <w:noProof/>
          <w:sz w:val="22"/>
        </w:rPr>
        <w:t>d</w:t>
      </w:r>
      <w:r w:rsidR="006A41E2" w:rsidRPr="006A41E2">
        <w:rPr>
          <w:noProof/>
          <w:sz w:val="22"/>
        </w:rPr>
        <w:t xml:space="preserve">escribe any </w:t>
      </w:r>
      <w:r w:rsidR="0001528B">
        <w:rPr>
          <w:noProof/>
          <w:sz w:val="22"/>
        </w:rPr>
        <w:t>change</w:t>
      </w:r>
      <w:r w:rsidR="0001528B" w:rsidRPr="006A41E2">
        <w:rPr>
          <w:noProof/>
          <w:sz w:val="22"/>
        </w:rPr>
        <w:t xml:space="preserve"> </w:t>
      </w:r>
      <w:r w:rsidR="00C56E81">
        <w:rPr>
          <w:noProof/>
          <w:sz w:val="22"/>
        </w:rPr>
        <w:t>that had an impact on how</w:t>
      </w:r>
      <w:r w:rsidR="00C56E81" w:rsidRPr="006A41E2">
        <w:rPr>
          <w:noProof/>
          <w:sz w:val="22"/>
        </w:rPr>
        <w:t xml:space="preserve"> </w:t>
      </w:r>
      <w:r w:rsidR="006A41E2" w:rsidRPr="006A41E2">
        <w:rPr>
          <w:noProof/>
          <w:sz w:val="22"/>
        </w:rPr>
        <w:t>the enabling conditions</w:t>
      </w:r>
      <w:r w:rsidR="00C56E81">
        <w:rPr>
          <w:noProof/>
          <w:sz w:val="22"/>
        </w:rPr>
        <w:t xml:space="preserve"> were fulfilled</w:t>
      </w:r>
      <w:r w:rsidR="006A41E2" w:rsidRPr="006A41E2">
        <w:rPr>
          <w:noProof/>
          <w:sz w:val="22"/>
        </w:rPr>
        <w:t xml:space="preserve">, as </w:t>
      </w:r>
      <w:r w:rsidR="002F1935">
        <w:rPr>
          <w:noProof/>
          <w:sz w:val="22"/>
        </w:rPr>
        <w:t>provided for in</w:t>
      </w:r>
      <w:r w:rsidR="002F1935" w:rsidRPr="006A41E2">
        <w:rPr>
          <w:noProof/>
          <w:sz w:val="22"/>
        </w:rPr>
        <w:t xml:space="preserve"> </w:t>
      </w:r>
      <w:r w:rsidR="006A41E2" w:rsidRPr="006A41E2">
        <w:rPr>
          <w:noProof/>
          <w:sz w:val="22"/>
        </w:rPr>
        <w:t>Article 15(6) of Regulation (EU) 2021/1060.</w:t>
      </w:r>
    </w:p>
    <w:tbl>
      <w:tblPr>
        <w:tblStyle w:val="TableGrid"/>
        <w:tblW w:w="0" w:type="auto"/>
        <w:tblLook w:val="04A0" w:firstRow="1" w:lastRow="0" w:firstColumn="1" w:lastColumn="0" w:noHBand="0" w:noVBand="1"/>
      </w:tblPr>
      <w:tblGrid>
        <w:gridCol w:w="9289"/>
      </w:tblGrid>
      <w:tr w:rsidR="006A41E2" w14:paraId="1192D2A4" w14:textId="77777777" w:rsidTr="00E45665">
        <w:tc>
          <w:tcPr>
            <w:tcW w:w="9289" w:type="dxa"/>
          </w:tcPr>
          <w:p w14:paraId="48A1AFA6" w14:textId="77777777" w:rsidR="00F85D89" w:rsidRPr="00F85D89" w:rsidRDefault="00F85D89" w:rsidP="00F85D89">
            <w:pPr>
              <w:pStyle w:val="Personnequisigne"/>
              <w:numPr>
                <w:ilvl w:val="0"/>
                <w:numId w:val="31"/>
              </w:numPr>
              <w:ind w:left="284"/>
              <w:rPr>
                <w:noProof/>
              </w:rPr>
            </w:pPr>
            <w:r w:rsidRPr="00F85D89">
              <w:rPr>
                <w:noProof/>
              </w:rPr>
              <w:t>Arrangements to ensure compliance of the programmes supported by the Funds and their implementation with the relevant provisions of the Charter</w:t>
            </w:r>
            <w:r w:rsidRPr="00F85D89">
              <w:t xml:space="preserve"> and the </w:t>
            </w:r>
            <w:r w:rsidRPr="00F85D89">
              <w:rPr>
                <w:noProof/>
              </w:rPr>
              <w:t>UNCRPD:</w:t>
            </w:r>
          </w:p>
          <w:p w14:paraId="7DDC57DB" w14:textId="77777777" w:rsidR="00F85D89" w:rsidRPr="00F85D89" w:rsidRDefault="00F85D89" w:rsidP="00F85D89">
            <w:pPr>
              <w:pStyle w:val="Personnequisigne"/>
              <w:numPr>
                <w:ilvl w:val="0"/>
                <w:numId w:val="29"/>
              </w:numPr>
              <w:rPr>
                <w:noProof/>
              </w:rPr>
            </w:pPr>
            <w:r w:rsidRPr="00F85D89">
              <w:rPr>
                <w:noProof/>
              </w:rPr>
              <w:t>Sensibilisation by the MA while launching the calls (coaching sessions).</w:t>
            </w:r>
          </w:p>
          <w:p w14:paraId="092363A0" w14:textId="77777777" w:rsidR="00F85D89" w:rsidRPr="00F85D89" w:rsidRDefault="00F85D89" w:rsidP="00F85D89">
            <w:pPr>
              <w:pStyle w:val="Personnequisigne"/>
              <w:numPr>
                <w:ilvl w:val="0"/>
                <w:numId w:val="29"/>
              </w:numPr>
              <w:rPr>
                <w:noProof/>
              </w:rPr>
            </w:pPr>
            <w:r w:rsidRPr="00F85D89">
              <w:rPr>
                <w:noProof/>
              </w:rPr>
              <w:t>Commitment of the beneficiaries to respect the Charter</w:t>
            </w:r>
            <w:r w:rsidRPr="00F85D89">
              <w:t xml:space="preserve"> / </w:t>
            </w:r>
            <w:r w:rsidRPr="00F85D89">
              <w:rPr>
                <w:noProof/>
              </w:rPr>
              <w:t>UNCRPD in the project proposal (legal declaration).</w:t>
            </w:r>
          </w:p>
          <w:p w14:paraId="2DB1965E" w14:textId="77777777" w:rsidR="00F85D89" w:rsidRPr="00F85D89" w:rsidRDefault="00F85D89" w:rsidP="00F85D89">
            <w:pPr>
              <w:pStyle w:val="Personnequisigne"/>
              <w:numPr>
                <w:ilvl w:val="0"/>
                <w:numId w:val="29"/>
              </w:numPr>
              <w:rPr>
                <w:noProof/>
              </w:rPr>
            </w:pPr>
            <w:r w:rsidRPr="00F85D89">
              <w:rPr>
                <w:noProof/>
              </w:rPr>
              <w:t>Obligation to respect the Charter / UNCRPD registered in the ministerial decree (art.7).</w:t>
            </w:r>
          </w:p>
          <w:p w14:paraId="10E25231" w14:textId="77777777" w:rsidR="00F85D89" w:rsidRPr="00F85D89" w:rsidRDefault="00F85D89" w:rsidP="00F85D89">
            <w:pPr>
              <w:pStyle w:val="Personnequisigne"/>
              <w:numPr>
                <w:ilvl w:val="0"/>
                <w:numId w:val="29"/>
              </w:numPr>
              <w:rPr>
                <w:noProof/>
              </w:rPr>
            </w:pPr>
            <w:r w:rsidRPr="00F85D89">
              <w:rPr>
                <w:noProof/>
              </w:rPr>
              <w:t>Reporting by the beneficiary in the intermediary and final reports (questions).</w:t>
            </w:r>
          </w:p>
          <w:p w14:paraId="5577E490" w14:textId="77777777" w:rsidR="00F85D89" w:rsidRPr="00F85D89" w:rsidRDefault="00F85D89" w:rsidP="00F85D89">
            <w:pPr>
              <w:pStyle w:val="Personnequisigne"/>
              <w:numPr>
                <w:ilvl w:val="0"/>
                <w:numId w:val="29"/>
              </w:numPr>
              <w:rPr>
                <w:noProof/>
              </w:rPr>
            </w:pPr>
            <w:r w:rsidRPr="00F85D89">
              <w:rPr>
                <w:noProof/>
              </w:rPr>
              <w:t>Control by the MA during the operational and narrative controls (questions).</w:t>
            </w:r>
          </w:p>
          <w:p w14:paraId="73883C14" w14:textId="77777777" w:rsidR="00F85D89" w:rsidRPr="00F85D89" w:rsidRDefault="00F85D89" w:rsidP="00F85D89">
            <w:pPr>
              <w:pStyle w:val="Personnequisigne"/>
              <w:numPr>
                <w:ilvl w:val="0"/>
                <w:numId w:val="29"/>
              </w:numPr>
              <w:rPr>
                <w:noProof/>
              </w:rPr>
            </w:pPr>
            <w:r w:rsidRPr="00F85D89">
              <w:rPr>
                <w:noProof/>
              </w:rPr>
              <w:t xml:space="preserve">Nomination of a Fundamental Rights « expert » within the MA. </w:t>
            </w:r>
          </w:p>
          <w:p w14:paraId="4C75CE51" w14:textId="77777777" w:rsidR="00F85D89" w:rsidRPr="00F85D89" w:rsidRDefault="00F85D89" w:rsidP="00F85D89">
            <w:pPr>
              <w:pStyle w:val="Personnequisigne"/>
              <w:numPr>
                <w:ilvl w:val="0"/>
                <w:numId w:val="29"/>
              </w:numPr>
              <w:rPr>
                <w:noProof/>
              </w:rPr>
            </w:pPr>
            <w:r w:rsidRPr="00F85D89">
              <w:rPr>
                <w:noProof/>
              </w:rPr>
              <w:t>Training on the Charter (FRA) followed by the expert.</w:t>
            </w:r>
          </w:p>
          <w:p w14:paraId="5E78C76D" w14:textId="77777777" w:rsidR="00F85D89" w:rsidRPr="00F85D89" w:rsidRDefault="00F85D89" w:rsidP="00F85D89">
            <w:pPr>
              <w:pStyle w:val="Personnequisigne"/>
              <w:numPr>
                <w:ilvl w:val="0"/>
                <w:numId w:val="29"/>
              </w:numPr>
              <w:rPr>
                <w:noProof/>
              </w:rPr>
            </w:pPr>
            <w:r w:rsidRPr="00F85D89">
              <w:rPr>
                <w:noProof/>
              </w:rPr>
              <w:t>Reference to the Commission’s guidance (2016/C 269/01).</w:t>
            </w:r>
          </w:p>
          <w:p w14:paraId="5A877DCF" w14:textId="77777777" w:rsidR="00F85D89" w:rsidRPr="00F85D89" w:rsidRDefault="00F85D89" w:rsidP="00F85D89">
            <w:pPr>
              <w:pStyle w:val="Personnequisigne"/>
              <w:numPr>
                <w:ilvl w:val="0"/>
                <w:numId w:val="29"/>
              </w:numPr>
              <w:rPr>
                <w:noProof/>
              </w:rPr>
            </w:pPr>
            <w:r w:rsidRPr="00F85D89">
              <w:rPr>
                <w:noProof/>
              </w:rPr>
              <w:t>Support from the partners specialized in Fundamental Rights (UNIA, FPS Justice,…).</w:t>
            </w:r>
          </w:p>
          <w:p w14:paraId="1AF2468B" w14:textId="77777777" w:rsidR="00F85D89" w:rsidRPr="00F85D89" w:rsidRDefault="00F85D89" w:rsidP="00F85D89">
            <w:pPr>
              <w:pStyle w:val="Personnequisigne"/>
              <w:numPr>
                <w:ilvl w:val="0"/>
                <w:numId w:val="29"/>
              </w:numPr>
              <w:rPr>
                <w:noProof/>
              </w:rPr>
            </w:pPr>
            <w:r w:rsidRPr="00F85D89">
              <w:rPr>
                <w:noProof/>
              </w:rPr>
              <w:t>Transfer of the complaints by the expert to the relevant instances and follow-up by the MA.</w:t>
            </w:r>
          </w:p>
          <w:p w14:paraId="5B88FBE4" w14:textId="77777777" w:rsidR="00F85D89" w:rsidRPr="00F85D89" w:rsidRDefault="00F85D89" w:rsidP="00F85D89">
            <w:pPr>
              <w:pStyle w:val="Personnequisigne"/>
              <w:numPr>
                <w:ilvl w:val="0"/>
                <w:numId w:val="29"/>
              </w:numPr>
            </w:pPr>
            <w:r w:rsidRPr="00F85D89">
              <w:rPr>
                <w:noProof/>
              </w:rPr>
              <w:t>Intermediate bodies AMIF (ESF Vlaanderen et Agence FSE) monitor the respect of the Charter</w:t>
            </w:r>
            <w:r w:rsidRPr="00F85D89">
              <w:t xml:space="preserve"> / </w:t>
            </w:r>
            <w:r w:rsidRPr="00F85D89">
              <w:rPr>
                <w:noProof/>
              </w:rPr>
              <w:t>UNCRPD.</w:t>
            </w:r>
            <w:r w:rsidRPr="00F85D89">
              <w:t xml:space="preserve"> </w:t>
            </w:r>
          </w:p>
          <w:p w14:paraId="313438EA" w14:textId="77777777" w:rsidR="00F85D89" w:rsidRPr="00F85D89" w:rsidRDefault="00F85D89" w:rsidP="00F85D89">
            <w:pPr>
              <w:pStyle w:val="Personnequisigne"/>
              <w:rPr>
                <w:noProof/>
              </w:rPr>
            </w:pPr>
          </w:p>
          <w:p w14:paraId="3B782FBE" w14:textId="77777777" w:rsidR="00F85D89" w:rsidRPr="00F85D89" w:rsidRDefault="00F85D89" w:rsidP="00F85D89">
            <w:pPr>
              <w:pStyle w:val="Personnequisigne"/>
              <w:numPr>
                <w:ilvl w:val="0"/>
                <w:numId w:val="31"/>
              </w:numPr>
              <w:ind w:left="284"/>
              <w:rPr>
                <w:noProof/>
              </w:rPr>
            </w:pPr>
            <w:r w:rsidRPr="00F85D89">
              <w:rPr>
                <w:noProof/>
              </w:rPr>
              <w:t>Reporting arrangements to the monitoring committee regarding cases of non-compliance of operations supported by the Funds with the Charter / UNCRPD and complaints submitted in accordance with the arrangements made pursuant to Art 69(7):</w:t>
            </w:r>
          </w:p>
          <w:p w14:paraId="0CCC517C" w14:textId="77777777" w:rsidR="00F85D89" w:rsidRPr="00F85D89" w:rsidRDefault="00F85D89" w:rsidP="00F85D89">
            <w:pPr>
              <w:pStyle w:val="Personnequisigne"/>
              <w:numPr>
                <w:ilvl w:val="0"/>
                <w:numId w:val="30"/>
              </w:numPr>
              <w:rPr>
                <w:noProof/>
              </w:rPr>
            </w:pPr>
            <w:r w:rsidRPr="00F85D89">
              <w:rPr>
                <w:noProof/>
              </w:rPr>
              <w:t>Compliance of the projects with the Charter presented to the MC (protocol art.3).</w:t>
            </w:r>
          </w:p>
          <w:p w14:paraId="155EC423" w14:textId="77777777" w:rsidR="00F85D89" w:rsidRPr="00F85D89" w:rsidRDefault="00F85D89" w:rsidP="00F85D89">
            <w:pPr>
              <w:pStyle w:val="Personnequisigne"/>
              <w:numPr>
                <w:ilvl w:val="0"/>
                <w:numId w:val="30"/>
              </w:numPr>
              <w:rPr>
                <w:noProof/>
              </w:rPr>
            </w:pPr>
            <w:r w:rsidRPr="00F85D89">
              <w:rPr>
                <w:noProof/>
              </w:rPr>
              <w:t>Cases of non-compliance with the Charter, complaints and their follow-up reported to the MC (template).</w:t>
            </w:r>
          </w:p>
          <w:p w14:paraId="6F972E21" w14:textId="77777777" w:rsidR="00F85D89" w:rsidRPr="00F85D89" w:rsidRDefault="00F85D89" w:rsidP="00F85D89">
            <w:pPr>
              <w:pStyle w:val="Personnequisigne"/>
              <w:numPr>
                <w:ilvl w:val="0"/>
                <w:numId w:val="30"/>
              </w:numPr>
              <w:rPr>
                <w:noProof/>
              </w:rPr>
            </w:pPr>
            <w:r w:rsidRPr="00F85D89">
              <w:rPr>
                <w:noProof/>
              </w:rPr>
              <w:t>A specilized partner (UNIA, FPS Justice) can be invited to the MC to explain a case (protocol art.2 §7).</w:t>
            </w:r>
          </w:p>
          <w:p w14:paraId="15D1A9C4" w14:textId="77777777" w:rsidR="00F85D89" w:rsidRPr="00F85D89" w:rsidRDefault="00F85D89" w:rsidP="00F85D89">
            <w:pPr>
              <w:pStyle w:val="Personnequisigne"/>
            </w:pPr>
          </w:p>
          <w:p w14:paraId="276A8EC2" w14:textId="77777777" w:rsidR="00F85D89" w:rsidRPr="00F85D89" w:rsidRDefault="00F85D89" w:rsidP="00F85D89">
            <w:pPr>
              <w:pStyle w:val="Personnequisigne"/>
              <w:numPr>
                <w:ilvl w:val="0"/>
                <w:numId w:val="31"/>
              </w:numPr>
              <w:ind w:left="284"/>
              <w:rPr>
                <w:i w:val="0"/>
              </w:rPr>
            </w:pPr>
            <w:r w:rsidRPr="00F85D89">
              <w:t>The controls of public procurements are also carried out by the Managing Authority in order to ensure the respect of the Belgian legislation.</w:t>
            </w:r>
          </w:p>
          <w:p w14:paraId="3DF3780D" w14:textId="77777777" w:rsidR="00F85D89" w:rsidRPr="00F85D89" w:rsidRDefault="00F85D89" w:rsidP="00F85D89">
            <w:pPr>
              <w:pStyle w:val="Institutionquisigne"/>
              <w:spacing w:before="100" w:beforeAutospacing="1" w:after="100" w:afterAutospacing="1"/>
            </w:pPr>
            <w:r w:rsidRPr="00F85D89">
              <w:t>No complaints have been received so far.</w:t>
            </w:r>
          </w:p>
          <w:p w14:paraId="55D6193B" w14:textId="413C7D5A" w:rsidR="006A41E2" w:rsidRDefault="006A41E2" w:rsidP="009E5C5D">
            <w:pPr>
              <w:pStyle w:val="Personnequisigne"/>
              <w:rPr>
                <w:noProof/>
              </w:rPr>
            </w:pPr>
          </w:p>
        </w:tc>
      </w:tr>
    </w:tbl>
    <w:p w14:paraId="48A787C3" w14:textId="315F18C0" w:rsidR="006A41E2" w:rsidRPr="001250D4" w:rsidRDefault="004C5B3C" w:rsidP="004C5B3C">
      <w:pPr>
        <w:pStyle w:val="ManualHeading2"/>
        <w:rPr>
          <w:noProof/>
        </w:rPr>
      </w:pPr>
      <w:r w:rsidRPr="004C5B3C">
        <w:t>5.2.</w:t>
      </w:r>
      <w:r w:rsidRPr="004C5B3C">
        <w:tab/>
      </w:r>
      <w:r w:rsidR="0001528B">
        <w:rPr>
          <w:noProof/>
        </w:rPr>
        <w:t>Compliance with</w:t>
      </w:r>
      <w:r w:rsidR="006A41E2">
        <w:rPr>
          <w:noProof/>
        </w:rPr>
        <w:t xml:space="preserve"> </w:t>
      </w:r>
      <w:r w:rsidR="006C5C3B">
        <w:rPr>
          <w:noProof/>
        </w:rPr>
        <w:t>h</w:t>
      </w:r>
      <w:r w:rsidR="006A41E2">
        <w:rPr>
          <w:noProof/>
        </w:rPr>
        <w:t xml:space="preserve">orizontal </w:t>
      </w:r>
      <w:r w:rsidR="006C5C3B">
        <w:rPr>
          <w:noProof/>
        </w:rPr>
        <w:t>p</w:t>
      </w:r>
      <w:r w:rsidR="006A41E2">
        <w:rPr>
          <w:noProof/>
        </w:rPr>
        <w:t xml:space="preserve">rinciples – </w:t>
      </w:r>
      <w:r w:rsidR="006A41E2" w:rsidRPr="002B3B38">
        <w:rPr>
          <w:noProof/>
        </w:rPr>
        <w:t xml:space="preserve">Article </w:t>
      </w:r>
      <w:r w:rsidR="006A41E2">
        <w:rPr>
          <w:noProof/>
        </w:rPr>
        <w:t xml:space="preserve">9 </w:t>
      </w:r>
      <w:r w:rsidR="006A41E2" w:rsidRPr="002B3B38">
        <w:rPr>
          <w:noProof/>
        </w:rPr>
        <w:t xml:space="preserve">of Regulation (EU) </w:t>
      </w:r>
      <w:r w:rsidR="006A41E2" w:rsidRPr="00530801">
        <w:rPr>
          <w:noProof/>
        </w:rPr>
        <w:t>2021/1060</w:t>
      </w:r>
    </w:p>
    <w:p w14:paraId="5E1027CB" w14:textId="77777777" w:rsidR="006A41E2" w:rsidRPr="006A41E2" w:rsidRDefault="001B037F" w:rsidP="006A41E2">
      <w:pPr>
        <w:rPr>
          <w:noProof/>
          <w:sz w:val="22"/>
        </w:rPr>
      </w:pPr>
      <w:r>
        <w:rPr>
          <w:noProof/>
          <w:sz w:val="22"/>
        </w:rPr>
        <w:t>D</w:t>
      </w:r>
      <w:r w:rsidR="006A41E2" w:rsidRPr="006A41E2">
        <w:rPr>
          <w:noProof/>
          <w:sz w:val="22"/>
        </w:rPr>
        <w:t xml:space="preserve">escribe how you ensured </w:t>
      </w:r>
      <w:r w:rsidR="0001528B">
        <w:rPr>
          <w:noProof/>
          <w:sz w:val="22"/>
        </w:rPr>
        <w:t>compliance with</w:t>
      </w:r>
      <w:r w:rsidR="006A41E2" w:rsidRPr="006A41E2">
        <w:rPr>
          <w:noProof/>
          <w:sz w:val="22"/>
        </w:rPr>
        <w:t xml:space="preserve"> the horizontal principles laid </w:t>
      </w:r>
      <w:r w:rsidR="002E355D">
        <w:rPr>
          <w:noProof/>
          <w:sz w:val="22"/>
        </w:rPr>
        <w:t>down</w:t>
      </w:r>
      <w:r w:rsidR="002E355D" w:rsidRPr="006A41E2">
        <w:rPr>
          <w:noProof/>
          <w:sz w:val="22"/>
        </w:rPr>
        <w:t xml:space="preserve"> </w:t>
      </w:r>
      <w:r w:rsidR="006A41E2" w:rsidRPr="006A41E2">
        <w:rPr>
          <w:noProof/>
          <w:sz w:val="22"/>
        </w:rPr>
        <w:t xml:space="preserve">in the Common Provision Regulation during the accounting year, in particular equality between men and women and the promotion of gender mainstreaming, as well as </w:t>
      </w:r>
      <w:r w:rsidR="00F47EA7">
        <w:rPr>
          <w:noProof/>
          <w:sz w:val="22"/>
        </w:rPr>
        <w:t>avoiding</w:t>
      </w:r>
      <w:r w:rsidR="006A41E2" w:rsidRPr="006A41E2">
        <w:rPr>
          <w:noProof/>
          <w:sz w:val="22"/>
        </w:rPr>
        <w:t xml:space="preserve"> discrimination based on gender, racial or ethnic origin, religion or belief, disability, age or sexual orientation.</w:t>
      </w:r>
    </w:p>
    <w:tbl>
      <w:tblPr>
        <w:tblStyle w:val="TableGrid"/>
        <w:tblW w:w="0" w:type="auto"/>
        <w:tblLook w:val="04A0" w:firstRow="1" w:lastRow="0" w:firstColumn="1" w:lastColumn="0" w:noHBand="0" w:noVBand="1"/>
      </w:tblPr>
      <w:tblGrid>
        <w:gridCol w:w="9289"/>
      </w:tblGrid>
      <w:tr w:rsidR="006A41E2" w14:paraId="485927BB" w14:textId="77777777" w:rsidTr="00E45665">
        <w:tc>
          <w:tcPr>
            <w:tcW w:w="9289" w:type="dxa"/>
          </w:tcPr>
          <w:p w14:paraId="68F8DD3A" w14:textId="77777777" w:rsidR="00F85D89" w:rsidRPr="00F85D89" w:rsidRDefault="00F85D89" w:rsidP="00B049BF">
            <w:pPr>
              <w:pStyle w:val="Personnequisigne"/>
            </w:pPr>
            <w:r w:rsidRPr="00F85D89">
              <w:t>Actions explained under the point 5.1 apply as well to the horizontal principles.</w:t>
            </w:r>
          </w:p>
          <w:p w14:paraId="2CD37C6D" w14:textId="78261B79" w:rsidR="006A41E2" w:rsidRDefault="006A41E2" w:rsidP="00B049BF">
            <w:pPr>
              <w:pStyle w:val="Personnequisigne"/>
              <w:rPr>
                <w:noProof/>
              </w:rPr>
            </w:pPr>
          </w:p>
        </w:tc>
      </w:tr>
    </w:tbl>
    <w:p w14:paraId="1F560B60" w14:textId="79223BDA" w:rsidR="006A41E2" w:rsidRPr="006A41E2" w:rsidRDefault="004C5B3C" w:rsidP="004C5B3C">
      <w:pPr>
        <w:pStyle w:val="ManualHeading1"/>
        <w:rPr>
          <w:noProof/>
        </w:rPr>
      </w:pPr>
      <w:r w:rsidRPr="004C5B3C">
        <w:t>6.</w:t>
      </w:r>
      <w:r w:rsidRPr="004C5B3C">
        <w:tab/>
      </w:r>
      <w:r w:rsidR="006A41E2" w:rsidRPr="00D378BC">
        <w:rPr>
          <w:noProof/>
        </w:rPr>
        <w:t xml:space="preserve">Projects in or in relation </w:t>
      </w:r>
      <w:r w:rsidR="00B71583" w:rsidRPr="00D378BC">
        <w:rPr>
          <w:noProof/>
        </w:rPr>
        <w:t xml:space="preserve">to </w:t>
      </w:r>
      <w:r w:rsidR="006A41E2" w:rsidRPr="00D378BC">
        <w:rPr>
          <w:noProof/>
        </w:rPr>
        <w:t>third countries - Article 30(2)</w:t>
      </w:r>
      <w:r w:rsidR="008B1A84" w:rsidRPr="00D378BC">
        <w:rPr>
          <w:noProof/>
        </w:rPr>
        <w:t>,</w:t>
      </w:r>
      <w:r w:rsidR="006A41E2" w:rsidRPr="00D378BC">
        <w:rPr>
          <w:noProof/>
        </w:rPr>
        <w:t xml:space="preserve"> point (g)</w:t>
      </w:r>
      <w:r w:rsidR="008B1A84" w:rsidRPr="00D378BC">
        <w:rPr>
          <w:noProof/>
        </w:rPr>
        <w:t>,</w:t>
      </w:r>
      <w:r w:rsidR="006A41E2" w:rsidRPr="00D378BC">
        <w:rPr>
          <w:noProof/>
        </w:rPr>
        <w:t xml:space="preserve"> of Regulation (EU) 2021/1149</w:t>
      </w:r>
    </w:p>
    <w:p w14:paraId="42FF1E91" w14:textId="187FFF97" w:rsidR="006A41E2" w:rsidRPr="006A41E2" w:rsidRDefault="001B037F" w:rsidP="006A41E2">
      <w:pPr>
        <w:rPr>
          <w:noProof/>
          <w:sz w:val="22"/>
        </w:rPr>
      </w:pPr>
      <w:r>
        <w:rPr>
          <w:noProof/>
          <w:sz w:val="22"/>
        </w:rPr>
        <w:t>D</w:t>
      </w:r>
      <w:r w:rsidR="006A41E2" w:rsidRPr="006A41E2">
        <w:rPr>
          <w:noProof/>
          <w:sz w:val="22"/>
        </w:rPr>
        <w:t xml:space="preserve">escribe any actions </w:t>
      </w:r>
      <w:r w:rsidR="005C47C3">
        <w:rPr>
          <w:noProof/>
          <w:sz w:val="22"/>
        </w:rPr>
        <w:t xml:space="preserve">taking place </w:t>
      </w:r>
      <w:r w:rsidR="006A41E2" w:rsidRPr="006A41E2">
        <w:rPr>
          <w:noProof/>
          <w:sz w:val="22"/>
        </w:rPr>
        <w:t xml:space="preserve">in or in relation </w:t>
      </w:r>
      <w:r w:rsidR="00B71583">
        <w:rPr>
          <w:noProof/>
          <w:sz w:val="22"/>
        </w:rPr>
        <w:t>to</w:t>
      </w:r>
      <w:r w:rsidR="00B71583" w:rsidRPr="006A41E2">
        <w:rPr>
          <w:noProof/>
          <w:sz w:val="22"/>
        </w:rPr>
        <w:t xml:space="preserve"> </w:t>
      </w:r>
      <w:r w:rsidR="006A41E2" w:rsidRPr="006A41E2">
        <w:rPr>
          <w:noProof/>
          <w:sz w:val="22"/>
        </w:rPr>
        <w:t xml:space="preserve">third countries </w:t>
      </w:r>
      <w:r w:rsidR="005C47C3">
        <w:rPr>
          <w:noProof/>
          <w:sz w:val="22"/>
        </w:rPr>
        <w:t xml:space="preserve">during the accounting year </w:t>
      </w:r>
      <w:r w:rsidR="006A41E2" w:rsidRPr="006A41E2">
        <w:rPr>
          <w:noProof/>
          <w:sz w:val="22"/>
        </w:rPr>
        <w:t xml:space="preserve">and how these bring </w:t>
      </w:r>
      <w:r w:rsidR="00554DAE">
        <w:rPr>
          <w:noProof/>
          <w:sz w:val="22"/>
        </w:rPr>
        <w:t>Union</w:t>
      </w:r>
      <w:r w:rsidR="00554DAE" w:rsidRPr="006A41E2">
        <w:rPr>
          <w:noProof/>
          <w:sz w:val="22"/>
        </w:rPr>
        <w:t xml:space="preserve"> </w:t>
      </w:r>
      <w:r w:rsidR="006A41E2" w:rsidRPr="006A41E2">
        <w:rPr>
          <w:noProof/>
          <w:sz w:val="22"/>
        </w:rPr>
        <w:t xml:space="preserve">added value in </w:t>
      </w:r>
      <w:r w:rsidR="008A02D6">
        <w:rPr>
          <w:noProof/>
          <w:sz w:val="22"/>
        </w:rPr>
        <w:t>achieving</w:t>
      </w:r>
      <w:r w:rsidR="006A41E2" w:rsidRPr="006A41E2">
        <w:rPr>
          <w:noProof/>
          <w:sz w:val="22"/>
        </w:rPr>
        <w:t xml:space="preserve"> the objectives </w:t>
      </w:r>
      <w:r w:rsidR="005C47C3">
        <w:rPr>
          <w:noProof/>
          <w:sz w:val="22"/>
        </w:rPr>
        <w:t>set</w:t>
      </w:r>
      <w:r w:rsidR="005C47C3" w:rsidRPr="006A41E2">
        <w:rPr>
          <w:noProof/>
          <w:sz w:val="22"/>
        </w:rPr>
        <w:t xml:space="preserve"> </w:t>
      </w:r>
      <w:r w:rsidR="006A41E2" w:rsidRPr="006A41E2">
        <w:rPr>
          <w:noProof/>
          <w:sz w:val="22"/>
        </w:rPr>
        <w:t xml:space="preserve">by the fund. </w:t>
      </w:r>
      <w:r w:rsidRPr="001B037F">
        <w:rPr>
          <w:noProof/>
          <w:sz w:val="22"/>
        </w:rPr>
        <w:t>Indicate the names of the third countries concerned.</w:t>
      </w:r>
      <w:r>
        <w:rPr>
          <w:noProof/>
          <w:sz w:val="22"/>
        </w:rPr>
        <w:t xml:space="preserve"> </w:t>
      </w:r>
      <w:r w:rsidR="001668BA">
        <w:rPr>
          <w:noProof/>
          <w:sz w:val="22"/>
        </w:rPr>
        <w:t>If</w:t>
      </w:r>
      <w:r w:rsidR="005C47C3">
        <w:rPr>
          <w:noProof/>
          <w:sz w:val="22"/>
        </w:rPr>
        <w:t xml:space="preserve"> relevant,</w:t>
      </w:r>
      <w:r w:rsidR="006A41E2" w:rsidRPr="006A41E2">
        <w:rPr>
          <w:noProof/>
          <w:sz w:val="22"/>
        </w:rPr>
        <w:t xml:space="preserve"> </w:t>
      </w:r>
      <w:r w:rsidR="001668BA">
        <w:rPr>
          <w:noProof/>
          <w:sz w:val="22"/>
        </w:rPr>
        <w:t xml:space="preserve">refer </w:t>
      </w:r>
      <w:r w:rsidR="006A41E2" w:rsidRPr="006A41E2">
        <w:rPr>
          <w:noProof/>
          <w:sz w:val="22"/>
        </w:rPr>
        <w:t xml:space="preserve">to the consultations with the Commission </w:t>
      </w:r>
      <w:r w:rsidR="0001528B">
        <w:rPr>
          <w:noProof/>
          <w:sz w:val="22"/>
        </w:rPr>
        <w:t>before</w:t>
      </w:r>
      <w:r w:rsidR="006A41E2" w:rsidRPr="006A41E2">
        <w:rPr>
          <w:noProof/>
          <w:sz w:val="22"/>
        </w:rPr>
        <w:t xml:space="preserve"> the project </w:t>
      </w:r>
      <w:r w:rsidR="006C0D1D">
        <w:rPr>
          <w:noProof/>
          <w:sz w:val="22"/>
        </w:rPr>
        <w:t xml:space="preserve">was approved </w:t>
      </w:r>
      <w:r w:rsidR="006A41E2" w:rsidRPr="006A41E2">
        <w:rPr>
          <w:noProof/>
          <w:sz w:val="22"/>
        </w:rPr>
        <w:t>(Article 13(11)</w:t>
      </w:r>
      <w:r w:rsidR="00081CCF">
        <w:rPr>
          <w:noProof/>
          <w:sz w:val="22"/>
        </w:rPr>
        <w:t xml:space="preserve"> of Regulation</w:t>
      </w:r>
      <w:r w:rsidR="00046462">
        <w:rPr>
          <w:noProof/>
          <w:sz w:val="22"/>
        </w:rPr>
        <w:t xml:space="preserve"> (</w:t>
      </w:r>
      <w:r w:rsidR="00046462" w:rsidRPr="00046462">
        <w:rPr>
          <w:noProof/>
          <w:sz w:val="22"/>
        </w:rPr>
        <w:t>EU) 2021/1149</w:t>
      </w:r>
      <w:r w:rsidR="006A41E2" w:rsidRPr="006A41E2">
        <w:rPr>
          <w:noProof/>
          <w:sz w:val="22"/>
        </w:rPr>
        <w:t xml:space="preserve">). </w:t>
      </w:r>
    </w:p>
    <w:tbl>
      <w:tblPr>
        <w:tblStyle w:val="TableGrid"/>
        <w:tblW w:w="0" w:type="auto"/>
        <w:tblLook w:val="04A0" w:firstRow="1" w:lastRow="0" w:firstColumn="1" w:lastColumn="0" w:noHBand="0" w:noVBand="1"/>
      </w:tblPr>
      <w:tblGrid>
        <w:gridCol w:w="9289"/>
      </w:tblGrid>
      <w:tr w:rsidR="006A41E2" w14:paraId="6EDAA316" w14:textId="77777777" w:rsidTr="00E45665">
        <w:tc>
          <w:tcPr>
            <w:tcW w:w="9289" w:type="dxa"/>
          </w:tcPr>
          <w:p w14:paraId="5D4DC44C" w14:textId="77777777" w:rsidR="006A41E2" w:rsidRPr="00150BCE" w:rsidRDefault="005D6436" w:rsidP="00147182">
            <w:pPr>
              <w:pStyle w:val="Personnequisigne"/>
              <w:rPr>
                <w:noProof/>
              </w:rPr>
            </w:pPr>
            <w:r w:rsidRPr="00150BCE">
              <w:rPr>
                <w:noProof/>
              </w:rPr>
              <w:t>No projects in or in relation to third countries have been selected during the reference period. Hence, no Commission consultations have taken place.</w:t>
            </w:r>
          </w:p>
          <w:p w14:paraId="50447F76" w14:textId="6DD69CE4" w:rsidR="005D6436" w:rsidRPr="005D6436" w:rsidRDefault="005D6436" w:rsidP="00B049BF">
            <w:pPr>
              <w:pStyle w:val="Personnequisigne"/>
            </w:pPr>
          </w:p>
        </w:tc>
      </w:tr>
    </w:tbl>
    <w:p w14:paraId="54AF7F4C" w14:textId="64D9230B" w:rsidR="006A41E2" w:rsidRPr="006A41E2" w:rsidRDefault="004C5B3C" w:rsidP="004C5B3C">
      <w:pPr>
        <w:pStyle w:val="ManualHeading1"/>
        <w:rPr>
          <w:noProof/>
        </w:rPr>
      </w:pPr>
      <w:r w:rsidRPr="004C5B3C">
        <w:t>7.</w:t>
      </w:r>
      <w:r w:rsidRPr="004C5B3C">
        <w:tab/>
      </w:r>
      <w:r w:rsidR="006A41E2" w:rsidRPr="006A41E2">
        <w:rPr>
          <w:noProof/>
        </w:rPr>
        <w:t>Summary – Article 30(2) of Regulation (EU) 2021/1149</w:t>
      </w:r>
    </w:p>
    <w:p w14:paraId="6BB36DA2" w14:textId="77777777" w:rsidR="006A41E2" w:rsidRPr="006A41E2" w:rsidRDefault="00093D5B" w:rsidP="006A41E2">
      <w:pPr>
        <w:rPr>
          <w:noProof/>
          <w:sz w:val="22"/>
        </w:rPr>
      </w:pPr>
      <w:r>
        <w:rPr>
          <w:noProof/>
          <w:sz w:val="22"/>
        </w:rPr>
        <w:t>P</w:t>
      </w:r>
      <w:r w:rsidR="006A41E2" w:rsidRPr="00086F83">
        <w:rPr>
          <w:noProof/>
          <w:sz w:val="22"/>
        </w:rPr>
        <w:t xml:space="preserve">rovide a summary of sections </w:t>
      </w:r>
      <w:r w:rsidR="00B043A6">
        <w:rPr>
          <w:noProof/>
          <w:sz w:val="22"/>
        </w:rPr>
        <w:t>1 to 6</w:t>
      </w:r>
      <w:r w:rsidR="006A41E2" w:rsidRPr="00086F83">
        <w:rPr>
          <w:noProof/>
          <w:sz w:val="22"/>
        </w:rPr>
        <w:t xml:space="preserve">, which will be translated and made available to the public. </w:t>
      </w:r>
    </w:p>
    <w:p w14:paraId="5D81D6B0" w14:textId="77777777" w:rsidR="006A41E2" w:rsidRPr="006A41E2" w:rsidRDefault="006A41E2" w:rsidP="006A41E2">
      <w:pPr>
        <w:rPr>
          <w:noProof/>
          <w:sz w:val="22"/>
        </w:rPr>
      </w:pPr>
      <w:r w:rsidRPr="00086F83">
        <w:rPr>
          <w:noProof/>
          <w:sz w:val="22"/>
        </w:rPr>
        <w:t xml:space="preserve">As a minimum, the summary </w:t>
      </w:r>
      <w:r w:rsidR="0001528B">
        <w:rPr>
          <w:noProof/>
          <w:sz w:val="22"/>
        </w:rPr>
        <w:t>must</w:t>
      </w:r>
      <w:r w:rsidR="0001528B" w:rsidRPr="00086F83">
        <w:rPr>
          <w:noProof/>
          <w:sz w:val="22"/>
        </w:rPr>
        <w:t xml:space="preserve"> </w:t>
      </w:r>
      <w:r w:rsidRPr="00086F83">
        <w:rPr>
          <w:noProof/>
          <w:sz w:val="22"/>
        </w:rPr>
        <w:t xml:space="preserve">cover all the points listed in </w:t>
      </w:r>
      <w:r w:rsidR="00AA72E3">
        <w:rPr>
          <w:noProof/>
          <w:sz w:val="22"/>
        </w:rPr>
        <w:t>A</w:t>
      </w:r>
      <w:r w:rsidRPr="00086F83">
        <w:rPr>
          <w:noProof/>
          <w:sz w:val="22"/>
        </w:rPr>
        <w:t xml:space="preserve">rticle 30(2), and should </w:t>
      </w:r>
      <w:r w:rsidR="00B72B08" w:rsidRPr="00086F83">
        <w:rPr>
          <w:noProof/>
          <w:sz w:val="22"/>
        </w:rPr>
        <w:t xml:space="preserve">preferably </w:t>
      </w:r>
      <w:r w:rsidRPr="00086F83">
        <w:rPr>
          <w:noProof/>
          <w:sz w:val="22"/>
        </w:rPr>
        <w:t xml:space="preserve">be structured around them. </w:t>
      </w:r>
    </w:p>
    <w:p w14:paraId="5915FB12" w14:textId="77777777" w:rsidR="006A41E2" w:rsidRPr="006A41E2" w:rsidRDefault="006A41E2" w:rsidP="006A41E2">
      <w:pPr>
        <w:rPr>
          <w:noProof/>
          <w:sz w:val="22"/>
        </w:rPr>
      </w:pPr>
      <w:r w:rsidRPr="00086F83">
        <w:rPr>
          <w:noProof/>
          <w:sz w:val="22"/>
        </w:rPr>
        <w:t xml:space="preserve">The use of bullet points, bold text or informative headings is encouraged, so that </w:t>
      </w:r>
      <w:r w:rsidR="00B72B08">
        <w:rPr>
          <w:noProof/>
          <w:sz w:val="22"/>
        </w:rPr>
        <w:t xml:space="preserve">interested stakeholders can easily identify </w:t>
      </w:r>
      <w:r w:rsidRPr="00086F83">
        <w:rPr>
          <w:noProof/>
          <w:sz w:val="22"/>
        </w:rPr>
        <w:t xml:space="preserve">the </w:t>
      </w:r>
      <w:r w:rsidR="00B72B08">
        <w:rPr>
          <w:noProof/>
          <w:sz w:val="22"/>
        </w:rPr>
        <w:t>programme’s</w:t>
      </w:r>
      <w:r w:rsidRPr="00086F83">
        <w:rPr>
          <w:noProof/>
          <w:sz w:val="22"/>
        </w:rPr>
        <w:t xml:space="preserve"> main achievements </w:t>
      </w:r>
      <w:r w:rsidR="00B72B08">
        <w:rPr>
          <w:noProof/>
          <w:sz w:val="22"/>
        </w:rPr>
        <w:t>and</w:t>
      </w:r>
      <w:r w:rsidRPr="00086F83">
        <w:rPr>
          <w:noProof/>
          <w:sz w:val="22"/>
        </w:rPr>
        <w:t xml:space="preserve"> </w:t>
      </w:r>
      <w:r w:rsidR="00B72B08">
        <w:rPr>
          <w:noProof/>
          <w:sz w:val="22"/>
        </w:rPr>
        <w:t>the</w:t>
      </w:r>
      <w:r w:rsidRPr="00086F83">
        <w:rPr>
          <w:noProof/>
          <w:sz w:val="22"/>
        </w:rPr>
        <w:t xml:space="preserve"> main issues affecting its performance</w:t>
      </w:r>
      <w:r w:rsidR="00B72B08">
        <w:rPr>
          <w:noProof/>
          <w:sz w:val="22"/>
        </w:rPr>
        <w:t>.</w:t>
      </w:r>
      <w:r w:rsidRPr="00086F83">
        <w:rPr>
          <w:noProof/>
          <w:sz w:val="22"/>
        </w:rPr>
        <w:t xml:space="preserve"> </w:t>
      </w:r>
    </w:p>
    <w:tbl>
      <w:tblPr>
        <w:tblStyle w:val="TableGrid"/>
        <w:tblW w:w="0" w:type="auto"/>
        <w:tblLook w:val="04A0" w:firstRow="1" w:lastRow="0" w:firstColumn="1" w:lastColumn="0" w:noHBand="0" w:noVBand="1"/>
      </w:tblPr>
      <w:tblGrid>
        <w:gridCol w:w="9289"/>
      </w:tblGrid>
      <w:tr w:rsidR="006A41E2" w14:paraId="3495364F" w14:textId="77777777" w:rsidTr="00E45665">
        <w:tc>
          <w:tcPr>
            <w:tcW w:w="9289" w:type="dxa"/>
          </w:tcPr>
          <w:p w14:paraId="7E64114D" w14:textId="77777777" w:rsidR="008247CB" w:rsidRPr="003F6208" w:rsidRDefault="008247CB" w:rsidP="008247CB">
            <w:pPr>
              <w:pStyle w:val="Personnequisigne"/>
              <w:numPr>
                <w:ilvl w:val="0"/>
                <w:numId w:val="32"/>
              </w:numPr>
              <w:jc w:val="both"/>
              <w:rPr>
                <w:bCs/>
                <w:noProof/>
              </w:rPr>
            </w:pPr>
            <w:r w:rsidRPr="003F6208">
              <w:rPr>
                <w:bCs/>
                <w:noProof/>
              </w:rPr>
              <w:t xml:space="preserve">In terms of </w:t>
            </w:r>
            <w:r w:rsidRPr="003F6208">
              <w:rPr>
                <w:bCs/>
                <w:noProof/>
                <w:u w:val="single"/>
              </w:rPr>
              <w:t>progress in implementation</w:t>
            </w:r>
            <w:r w:rsidRPr="003F6208">
              <w:rPr>
                <w:bCs/>
                <w:noProof/>
              </w:rPr>
              <w:t>:</w:t>
            </w:r>
          </w:p>
          <w:p w14:paraId="32D80A45" w14:textId="77777777" w:rsidR="008247CB" w:rsidRPr="00BD1724" w:rsidRDefault="008247CB" w:rsidP="008247CB">
            <w:pPr>
              <w:pStyle w:val="Personnequisigne"/>
              <w:numPr>
                <w:ilvl w:val="1"/>
                <w:numId w:val="32"/>
              </w:numPr>
              <w:jc w:val="both"/>
              <w:rPr>
                <w:bCs/>
                <w:noProof/>
              </w:rPr>
            </w:pPr>
            <w:r w:rsidRPr="00BD1724">
              <w:rPr>
                <w:bCs/>
                <w:noProof/>
              </w:rPr>
              <w:t>During the reference period (01/07/2022 – 30/06/2023), 13 projects were selected under the ISF National Programme. These account for a total project cost of € 30.533.987,09 and a total EU subsidy amount of € 24.949.779,03.</w:t>
            </w:r>
          </w:p>
          <w:p w14:paraId="1924EFC1" w14:textId="716380E5" w:rsidR="002F2410" w:rsidRPr="00BD1724" w:rsidRDefault="002F2410" w:rsidP="002F2410">
            <w:pPr>
              <w:pStyle w:val="Personnequisigne"/>
              <w:numPr>
                <w:ilvl w:val="1"/>
                <w:numId w:val="32"/>
              </w:numPr>
              <w:jc w:val="both"/>
              <w:rPr>
                <w:bCs/>
                <w:noProof/>
              </w:rPr>
            </w:pPr>
            <w:r w:rsidRPr="00BD1724">
              <w:rPr>
                <w:bCs/>
                <w:noProof/>
              </w:rPr>
              <w:t>The majority of the projects (8 in total) fall under SO1. These projects focus primarily on the development, implementation and/or maintenance of different (existing) information exchange systems and networks.</w:t>
            </w:r>
          </w:p>
          <w:p w14:paraId="1154B539" w14:textId="55D3FB30" w:rsidR="001C48FC" w:rsidRPr="00BD1724" w:rsidRDefault="001C48FC" w:rsidP="001C48FC">
            <w:pPr>
              <w:pStyle w:val="Personnequisigne"/>
              <w:numPr>
                <w:ilvl w:val="1"/>
                <w:numId w:val="32"/>
              </w:numPr>
              <w:jc w:val="both"/>
              <w:rPr>
                <w:bCs/>
                <w:noProof/>
              </w:rPr>
            </w:pPr>
            <w:r w:rsidRPr="00BD1724">
              <w:rPr>
                <w:bCs/>
                <w:noProof/>
              </w:rPr>
              <w:t>Under SO2, funding is focused on improving the coordination and operational cooperation between different EU MS and EU agencies. In the context of the continued implementation of the PNR Directive as an important policy priority, BE took up a leadership role with the establishment of an EU Passenger Information Unit (PIU) Network, thereby ensuring the continued operational cooperation and fine-tuning between relevant PIU’s. This is the only project to date selected under SO2.</w:t>
            </w:r>
          </w:p>
          <w:p w14:paraId="194DF016" w14:textId="392D160A" w:rsidR="0039781D" w:rsidRDefault="0039781D" w:rsidP="0039781D">
            <w:pPr>
              <w:pStyle w:val="Personnequisigne"/>
              <w:numPr>
                <w:ilvl w:val="1"/>
                <w:numId w:val="32"/>
              </w:numPr>
              <w:jc w:val="both"/>
            </w:pPr>
            <w:r w:rsidRPr="00BD1724">
              <w:t>Under SO3, up until now, a total of 4 projects have started, with a total project budget of € 1.738.056,14, of which 1.303.086,03 in terms of EU subsidy.</w:t>
            </w:r>
          </w:p>
          <w:p w14:paraId="5CA5884F" w14:textId="4F5A2874" w:rsidR="007D3054" w:rsidRDefault="00F4723E" w:rsidP="00F4723E">
            <w:pPr>
              <w:pStyle w:val="Personnequisigne"/>
              <w:numPr>
                <w:ilvl w:val="1"/>
                <w:numId w:val="32"/>
              </w:numPr>
              <w:jc w:val="both"/>
            </w:pPr>
            <w:r w:rsidRPr="007D3054">
              <w:rPr>
                <w:u w:val="single"/>
              </w:rPr>
              <w:t>Operating support</w:t>
            </w:r>
            <w:r>
              <w:t xml:space="preserve"> was used to finance 1 project (</w:t>
            </w:r>
            <w:r w:rsidRPr="00F4723E">
              <w:t>‘ISF-087-113’</w:t>
            </w:r>
            <w:r w:rsidR="007D3054">
              <w:t>) at 100 %. The aim of the project</w:t>
            </w:r>
            <w:r w:rsidRPr="00F4723E">
              <w:t xml:space="preserve"> </w:t>
            </w:r>
            <w:r w:rsidR="007D3054">
              <w:t>is</w:t>
            </w:r>
            <w:r w:rsidRPr="00F4723E">
              <w:t>to ensure the necessary operational support of the API/PNR-system, including but not limited to maintenance of the secured IT infrastructure, data quality improvements, operational staff costs, etc.</w:t>
            </w:r>
          </w:p>
          <w:p w14:paraId="759CB92C" w14:textId="4C57BAC9" w:rsidR="00CE5B3C" w:rsidRPr="00CE5B3C" w:rsidRDefault="00F4723E" w:rsidP="00F4723E">
            <w:pPr>
              <w:pStyle w:val="Personnequisigne"/>
              <w:numPr>
                <w:ilvl w:val="1"/>
                <w:numId w:val="32"/>
              </w:numPr>
              <w:jc w:val="both"/>
            </w:pPr>
            <w:r w:rsidRPr="00F4723E">
              <w:t xml:space="preserve">No </w:t>
            </w:r>
            <w:r w:rsidRPr="00F4723E">
              <w:rPr>
                <w:u w:val="single"/>
              </w:rPr>
              <w:t>specific actions</w:t>
            </w:r>
            <w:r w:rsidRPr="00F4723E">
              <w:t xml:space="preserve"> were carried out in the reference period.</w:t>
            </w:r>
          </w:p>
          <w:p w14:paraId="2F8549A0" w14:textId="5B02EC73" w:rsidR="0039781D" w:rsidRPr="00BD1724" w:rsidRDefault="0039781D" w:rsidP="0039781D">
            <w:pPr>
              <w:pStyle w:val="Personnequisigne"/>
              <w:numPr>
                <w:ilvl w:val="1"/>
                <w:numId w:val="32"/>
              </w:numPr>
              <w:jc w:val="both"/>
            </w:pPr>
            <w:r w:rsidRPr="00BD1724">
              <w:t xml:space="preserve">In terms of </w:t>
            </w:r>
            <w:r w:rsidRPr="00F4723E">
              <w:rPr>
                <w:u w:val="single"/>
              </w:rPr>
              <w:t>implementation</w:t>
            </w:r>
            <w:r w:rsidRPr="00BD1724">
              <w:t xml:space="preserve">, most projects have started on 01/07/2023, while a few already commenced on 01/01/2023. </w:t>
            </w:r>
            <w:r w:rsidR="003F6208" w:rsidRPr="00BD1724">
              <w:rPr>
                <w:bCs/>
                <w:noProof/>
              </w:rPr>
              <w:t xml:space="preserve">The majority of the projects are well underway and no significant delays / problems have been signalled. </w:t>
            </w:r>
          </w:p>
          <w:p w14:paraId="25580A1A" w14:textId="77777777" w:rsidR="008247CB" w:rsidRPr="00BD1724" w:rsidRDefault="008247CB" w:rsidP="008247CB">
            <w:pPr>
              <w:pStyle w:val="Personnequisigne"/>
              <w:numPr>
                <w:ilvl w:val="0"/>
                <w:numId w:val="32"/>
              </w:numPr>
              <w:jc w:val="both"/>
            </w:pPr>
            <w:r w:rsidRPr="00BD1724">
              <w:t xml:space="preserve">In terms of </w:t>
            </w:r>
            <w:r w:rsidRPr="00BD1724">
              <w:rPr>
                <w:u w:val="single"/>
              </w:rPr>
              <w:t>issues affecting performance</w:t>
            </w:r>
            <w:r w:rsidRPr="00BD1724">
              <w:t>:</w:t>
            </w:r>
          </w:p>
          <w:p w14:paraId="14BC92DD" w14:textId="77777777" w:rsidR="00D34348" w:rsidRPr="00D34348" w:rsidRDefault="00D34348" w:rsidP="00D34348">
            <w:pPr>
              <w:pStyle w:val="Personnequisigne"/>
              <w:numPr>
                <w:ilvl w:val="1"/>
                <w:numId w:val="32"/>
              </w:numPr>
              <w:jc w:val="both"/>
            </w:pPr>
            <w:r w:rsidRPr="00D34348">
              <w:t>The main obstacle affecting the performance of projects under all SO’s was the late approval of projects. Projects only received grant agreements in December 2022 / January 2023. This caused significant delays with regard to the start of the projects (hiring staff / starting public procurement procedures).</w:t>
            </w:r>
          </w:p>
          <w:p w14:paraId="5AF951F7" w14:textId="25489FBA" w:rsidR="003F6208" w:rsidRPr="00BD1724" w:rsidRDefault="003F6208" w:rsidP="008247CB">
            <w:pPr>
              <w:pStyle w:val="Personnequisigne"/>
              <w:numPr>
                <w:ilvl w:val="1"/>
                <w:numId w:val="32"/>
              </w:numPr>
              <w:jc w:val="both"/>
            </w:pPr>
            <w:r w:rsidRPr="00BD1724">
              <w:t>Unfortunately, delays have been detected in a couple of projects, mainly due to public procurement procedures taking up more time than expected and causing delays in deliverables or due to changes in the project priorities.</w:t>
            </w:r>
          </w:p>
          <w:p w14:paraId="5EB8352E" w14:textId="7710DE2A" w:rsidR="000D4E66" w:rsidRPr="00BD1724" w:rsidRDefault="000D4E66" w:rsidP="000D4E66">
            <w:pPr>
              <w:pStyle w:val="Personnequisigne"/>
              <w:numPr>
                <w:ilvl w:val="1"/>
                <w:numId w:val="32"/>
              </w:numPr>
              <w:jc w:val="both"/>
            </w:pPr>
            <w:r w:rsidRPr="00BD1724">
              <w:t xml:space="preserve">In one project, contextual changes (a ruling of the BE Constitutional Court on the BE PNR legislation) </w:t>
            </w:r>
            <w:r w:rsidR="00B65A86" w:rsidRPr="00BD1724">
              <w:t xml:space="preserve">required the inclusion of an additional project activity / objective in the scope of the project. </w:t>
            </w:r>
            <w:r w:rsidRPr="00BD1724">
              <w:t>The Constitutional Court case also meant extra workload analysing the legal implications of the ruling and required technical modif</w:t>
            </w:r>
            <w:r w:rsidR="00BD1724" w:rsidRPr="00BD1724">
              <w:t>ications as well</w:t>
            </w:r>
            <w:r w:rsidRPr="00BD1724">
              <w:t>.</w:t>
            </w:r>
          </w:p>
          <w:p w14:paraId="691B69D4" w14:textId="77777777" w:rsidR="008247CB" w:rsidRPr="00D34348" w:rsidRDefault="008247CB" w:rsidP="008247CB">
            <w:pPr>
              <w:pStyle w:val="Personnequisigne"/>
              <w:numPr>
                <w:ilvl w:val="0"/>
                <w:numId w:val="32"/>
              </w:numPr>
              <w:jc w:val="both"/>
            </w:pPr>
            <w:r w:rsidRPr="00D34348">
              <w:t xml:space="preserve">In terms of </w:t>
            </w:r>
            <w:r w:rsidRPr="00D34348">
              <w:rPr>
                <w:u w:val="single"/>
              </w:rPr>
              <w:t>communication and visibility</w:t>
            </w:r>
            <w:r w:rsidRPr="00D34348">
              <w:t>, the website of the Managing Authority has been updated in order to accommodate the 2021-2027 programming period. Also, a unique portal has been put in place under the name ‘</w:t>
            </w:r>
            <w:r w:rsidRPr="00D34348">
              <w:rPr>
                <w:szCs w:val="24"/>
                <w:lang w:val="en-US"/>
              </w:rPr>
              <w:t>Europe in Belgium’. Lastly, a Communication Officer has been designated within the Managing Authority.</w:t>
            </w:r>
          </w:p>
          <w:p w14:paraId="5BB7DA08" w14:textId="77777777" w:rsidR="008247CB" w:rsidRPr="00D34348" w:rsidRDefault="008247CB" w:rsidP="008247CB">
            <w:pPr>
              <w:pStyle w:val="Personnequisigne"/>
              <w:numPr>
                <w:ilvl w:val="0"/>
                <w:numId w:val="32"/>
              </w:numPr>
              <w:jc w:val="both"/>
            </w:pPr>
            <w:r w:rsidRPr="00D34348">
              <w:t xml:space="preserve">With regard to the </w:t>
            </w:r>
            <w:r w:rsidRPr="00D34348">
              <w:rPr>
                <w:u w:val="single"/>
              </w:rPr>
              <w:t>enabling conditions</w:t>
            </w:r>
            <w:r w:rsidRPr="00D34348">
              <w:t xml:space="preserve"> and </w:t>
            </w:r>
            <w:r w:rsidRPr="00D34348">
              <w:rPr>
                <w:u w:val="single"/>
              </w:rPr>
              <w:t>horizontal principles</w:t>
            </w:r>
            <w:r w:rsidRPr="00D34348">
              <w:t>, there are no specific points of attention. No complaints have been received so far.</w:t>
            </w:r>
          </w:p>
          <w:p w14:paraId="373453F3" w14:textId="77777777" w:rsidR="008247CB" w:rsidRPr="00D34348" w:rsidRDefault="008247CB" w:rsidP="008247CB">
            <w:pPr>
              <w:pStyle w:val="Personnequisigne"/>
              <w:numPr>
                <w:ilvl w:val="0"/>
                <w:numId w:val="32"/>
              </w:numPr>
              <w:jc w:val="both"/>
            </w:pPr>
            <w:r w:rsidRPr="00D34348">
              <w:t xml:space="preserve">No </w:t>
            </w:r>
            <w:r w:rsidRPr="00D34348">
              <w:rPr>
                <w:u w:val="single"/>
              </w:rPr>
              <w:t>projects in or in relation to third countries</w:t>
            </w:r>
            <w:r w:rsidRPr="00D34348">
              <w:t xml:space="preserve"> have been selected during the reference period. Hence, no Commission consultations have taken place.</w:t>
            </w:r>
          </w:p>
          <w:p w14:paraId="3B4DD946" w14:textId="63D3C3DA" w:rsidR="008247CB" w:rsidRPr="008247CB" w:rsidRDefault="008247CB" w:rsidP="008247CB">
            <w:pPr>
              <w:pStyle w:val="Institutionquisigne"/>
            </w:pPr>
          </w:p>
        </w:tc>
      </w:tr>
    </w:tbl>
    <w:p w14:paraId="5B515368" w14:textId="77777777" w:rsidR="006A41E2" w:rsidRPr="006A41E2" w:rsidRDefault="006A41E2" w:rsidP="006A41E2">
      <w:pPr>
        <w:rPr>
          <w:noProof/>
        </w:rPr>
      </w:pPr>
    </w:p>
    <w:sectPr w:rsidR="006A41E2" w:rsidRPr="006A41E2" w:rsidSect="00783E68">
      <w:footerReference w:type="default" r:id="rId20"/>
      <w:footerReference w:type="first" r:id="rId21"/>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98410" w14:textId="77777777" w:rsidR="00C12AA5" w:rsidRDefault="00C12AA5" w:rsidP="00555224">
      <w:pPr>
        <w:spacing w:before="0" w:after="0"/>
      </w:pPr>
      <w:r>
        <w:separator/>
      </w:r>
    </w:p>
  </w:endnote>
  <w:endnote w:type="continuationSeparator" w:id="0">
    <w:p w14:paraId="036C9FCA" w14:textId="77777777" w:rsidR="00C12AA5" w:rsidRDefault="00C12AA5" w:rsidP="00555224">
      <w:pPr>
        <w:spacing w:before="0" w:after="0"/>
      </w:pPr>
      <w:r>
        <w:continuationSeparator/>
      </w:r>
    </w:p>
  </w:endnote>
  <w:endnote w:type="continuationNotice" w:id="1">
    <w:p w14:paraId="5F1A4383" w14:textId="77777777" w:rsidR="00C12AA5" w:rsidRDefault="00C12A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6FB3" w14:textId="77777777" w:rsidR="00783E68" w:rsidRPr="00783E68" w:rsidRDefault="00783E68" w:rsidP="0078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5986" w14:textId="7FAC6D1F" w:rsidR="00586750" w:rsidRPr="00783E68" w:rsidRDefault="00783E68" w:rsidP="00783E68">
    <w:pPr>
      <w:pStyle w:val="Footer"/>
      <w:rPr>
        <w:rFonts w:ascii="Arial" w:hAnsi="Arial" w:cs="Arial"/>
        <w:b/>
        <w:sz w:val="48"/>
      </w:rPr>
    </w:pPr>
    <w:r w:rsidRPr="00783E68">
      <w:rPr>
        <w:rFonts w:ascii="Arial" w:hAnsi="Arial" w:cs="Arial"/>
        <w:b/>
        <w:sz w:val="48"/>
      </w:rPr>
      <w:t>EN</w:t>
    </w:r>
    <w:r w:rsidRPr="00783E68">
      <w:rPr>
        <w:rFonts w:ascii="Arial" w:hAnsi="Arial" w:cs="Arial"/>
        <w:b/>
        <w:sz w:val="48"/>
      </w:rPr>
      <w:tab/>
    </w:r>
    <w:r w:rsidRPr="00783E68">
      <w:rPr>
        <w:rFonts w:ascii="Arial" w:hAnsi="Arial" w:cs="Arial"/>
        <w:b/>
        <w:sz w:val="48"/>
      </w:rPr>
      <w:tab/>
    </w:r>
    <w:r w:rsidRPr="00783E68">
      <w:tab/>
    </w:r>
    <w:r w:rsidRPr="00783E6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E7EA" w14:textId="77777777" w:rsidR="00783E68" w:rsidRPr="00783E68" w:rsidRDefault="00783E68" w:rsidP="00783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F00B" w14:textId="5E96EB03" w:rsidR="00783E68" w:rsidRPr="00783E68" w:rsidRDefault="00783E68" w:rsidP="00783E68">
    <w:pPr>
      <w:pStyle w:val="Footer"/>
      <w:rPr>
        <w:rFonts w:ascii="Arial" w:hAnsi="Arial" w:cs="Arial"/>
        <w:b/>
        <w:sz w:val="48"/>
      </w:rPr>
    </w:pPr>
    <w:r w:rsidRPr="00783E68">
      <w:rPr>
        <w:rFonts w:ascii="Arial" w:hAnsi="Arial" w:cs="Arial"/>
        <w:b/>
        <w:sz w:val="48"/>
      </w:rPr>
      <w:t>EN</w:t>
    </w:r>
    <w:r w:rsidRPr="00783E68">
      <w:rPr>
        <w:rFonts w:ascii="Arial" w:hAnsi="Arial" w:cs="Arial"/>
        <w:b/>
        <w:sz w:val="48"/>
      </w:rPr>
      <w:tab/>
    </w:r>
    <w:r>
      <w:fldChar w:fldCharType="begin"/>
    </w:r>
    <w:r>
      <w:instrText xml:space="preserve"> PAGE  \* MERGEFORMAT </w:instrText>
    </w:r>
    <w:r>
      <w:fldChar w:fldCharType="separate"/>
    </w:r>
    <w:r w:rsidR="00333009">
      <w:rPr>
        <w:noProof/>
      </w:rPr>
      <w:t>11</w:t>
    </w:r>
    <w:r>
      <w:fldChar w:fldCharType="end"/>
    </w:r>
    <w:r>
      <w:tab/>
    </w:r>
    <w:r w:rsidRPr="00783E68">
      <w:tab/>
    </w:r>
    <w:r w:rsidRPr="00783E6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D58D" w14:textId="77777777" w:rsidR="00783E68" w:rsidRPr="00783E68" w:rsidRDefault="00783E68" w:rsidP="0078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8E0D" w14:textId="77777777" w:rsidR="00C12AA5" w:rsidRDefault="00C12AA5" w:rsidP="00555224">
      <w:pPr>
        <w:spacing w:before="0" w:after="0"/>
      </w:pPr>
      <w:r>
        <w:separator/>
      </w:r>
    </w:p>
  </w:footnote>
  <w:footnote w:type="continuationSeparator" w:id="0">
    <w:p w14:paraId="7F620842" w14:textId="77777777" w:rsidR="00C12AA5" w:rsidRDefault="00C12AA5" w:rsidP="00555224">
      <w:pPr>
        <w:spacing w:before="0" w:after="0"/>
      </w:pPr>
      <w:r>
        <w:continuationSeparator/>
      </w:r>
    </w:p>
  </w:footnote>
  <w:footnote w:type="continuationNotice" w:id="1">
    <w:p w14:paraId="33539B83" w14:textId="77777777" w:rsidR="00C12AA5" w:rsidRDefault="00C12AA5">
      <w:pPr>
        <w:spacing w:before="0" w:after="0"/>
      </w:pPr>
    </w:p>
  </w:footnote>
  <w:footnote w:id="2">
    <w:p w14:paraId="48A5CA33" w14:textId="77777777" w:rsidR="00586750" w:rsidRPr="006A41E2" w:rsidRDefault="00586750">
      <w:pPr>
        <w:pStyle w:val="FootnoteText"/>
        <w:rPr>
          <w:sz w:val="18"/>
          <w:lang w:val="en-IE"/>
        </w:rPr>
      </w:pPr>
      <w:r w:rsidRPr="00C629AE">
        <w:rPr>
          <w:rStyle w:val="FootnoteReference"/>
        </w:rPr>
        <w:footnoteRef/>
      </w:r>
      <w:r w:rsidRPr="006A41E2">
        <w:rPr>
          <w:sz w:val="18"/>
          <w:lang w:val="en-IE"/>
        </w:rPr>
        <w:tab/>
      </w:r>
      <w:r w:rsidRPr="006A41E2">
        <w:rPr>
          <w:sz w:val="18"/>
        </w:rPr>
        <w:t>This refers to the situation when there is a gap between the nominal target achievement rate measured by the indicators and the actual progress in implementation. For instance, under-reporting of output and results could be due to issues with the development of the IT system, ongoing operations for which output and results are not yet reported, issues with the data collection leading to slow or incomplete reporting, etc.</w:t>
      </w:r>
    </w:p>
  </w:footnote>
  <w:footnote w:id="3">
    <w:p w14:paraId="1B4AED68" w14:textId="1C92A47D" w:rsidR="00586750" w:rsidRPr="006A41E2" w:rsidRDefault="00586750">
      <w:pPr>
        <w:pStyle w:val="FootnoteText"/>
        <w:rPr>
          <w:sz w:val="18"/>
          <w:lang w:val="en-IE"/>
        </w:rPr>
      </w:pPr>
      <w:r w:rsidRPr="00C629AE">
        <w:rPr>
          <w:rStyle w:val="FootnoteReference"/>
        </w:rPr>
        <w:footnoteRef/>
      </w:r>
      <w:r w:rsidRPr="006A41E2">
        <w:rPr>
          <w:sz w:val="18"/>
          <w:lang w:val="en-IE"/>
        </w:rPr>
        <w:tab/>
      </w:r>
      <w:r w:rsidRPr="006A41E2">
        <w:rPr>
          <w:sz w:val="18"/>
        </w:rPr>
        <w:t xml:space="preserve">This refers to a situation where the low target achievement rate is not due to slow progress but rather to incorrect or unrealistic target setting. It may include lessons learned </w:t>
      </w:r>
      <w:r>
        <w:rPr>
          <w:sz w:val="18"/>
        </w:rPr>
        <w:t xml:space="preserve">in connection with the establishment of </w:t>
      </w:r>
      <w:r w:rsidRPr="006A41E2">
        <w:rPr>
          <w:sz w:val="18"/>
        </w:rPr>
        <w:t>the methodology for target setting – such as wrong or incomplete assumptions or issues with the benchmark values selected – and any planned changes to it.</w:t>
      </w:r>
    </w:p>
  </w:footnote>
  <w:footnote w:id="4">
    <w:p w14:paraId="24827152" w14:textId="77777777" w:rsidR="00586750" w:rsidRPr="006A41E2" w:rsidRDefault="00586750">
      <w:pPr>
        <w:pStyle w:val="FootnoteText"/>
        <w:rPr>
          <w:sz w:val="18"/>
          <w:lang w:val="en-IE"/>
        </w:rPr>
      </w:pPr>
      <w:r w:rsidRPr="00C629AE">
        <w:rPr>
          <w:rStyle w:val="FootnoteReference"/>
        </w:rPr>
        <w:footnoteRef/>
      </w:r>
      <w:r w:rsidRPr="006A41E2">
        <w:rPr>
          <w:sz w:val="18"/>
          <w:lang w:val="en-IE"/>
        </w:rPr>
        <w:tab/>
      </w:r>
      <w:r w:rsidRPr="006A41E2">
        <w:rPr>
          <w:sz w:val="18"/>
        </w:rPr>
        <w:t>For instance, issues related to tendering procedures, issues with audit procedures, issues linked to lack of resources at the managing authority level, an unforeseen delay in the adoption of the programme, etc.</w:t>
      </w:r>
    </w:p>
  </w:footnote>
  <w:footnote w:id="5">
    <w:p w14:paraId="3B4215A8" w14:textId="77777777" w:rsidR="00586750" w:rsidRPr="006A41E2" w:rsidRDefault="00586750">
      <w:pPr>
        <w:pStyle w:val="FootnoteText"/>
        <w:rPr>
          <w:lang w:val="en-IE"/>
        </w:rPr>
      </w:pPr>
      <w:r w:rsidRPr="00C629AE">
        <w:rPr>
          <w:rStyle w:val="FootnoteReference"/>
        </w:rPr>
        <w:footnoteRef/>
      </w:r>
      <w:r w:rsidRPr="006A41E2">
        <w:rPr>
          <w:sz w:val="18"/>
          <w:lang w:val="en-IE"/>
        </w:rPr>
        <w:tab/>
      </w:r>
      <w:r w:rsidRPr="006A41E2">
        <w:rPr>
          <w:sz w:val="18"/>
        </w:rPr>
        <w:t>This can include, for instance, socio-economic or political factors, changes in the regulatory context, etc.</w:t>
      </w:r>
    </w:p>
  </w:footnote>
  <w:footnote w:id="6">
    <w:p w14:paraId="714590B7" w14:textId="7D6D33DE" w:rsidR="00586750" w:rsidRPr="006A41E2" w:rsidRDefault="00586750">
      <w:pPr>
        <w:pStyle w:val="FootnoteText"/>
        <w:rPr>
          <w:lang w:val="en-IE"/>
        </w:rPr>
      </w:pPr>
      <w:r w:rsidRPr="00C629AE">
        <w:rPr>
          <w:rStyle w:val="FootnoteReference"/>
        </w:rPr>
        <w:footnoteRef/>
      </w:r>
      <w:r w:rsidRPr="006A41E2">
        <w:rPr>
          <w:sz w:val="18"/>
          <w:lang w:val="en-IE"/>
        </w:rPr>
        <w:tab/>
        <w:t xml:space="preserve">For instance, issues </w:t>
      </w:r>
      <w:r>
        <w:rPr>
          <w:sz w:val="18"/>
          <w:lang w:val="en-IE"/>
        </w:rPr>
        <w:t xml:space="preserve">to do </w:t>
      </w:r>
      <w:r w:rsidRPr="006A41E2">
        <w:rPr>
          <w:sz w:val="18"/>
          <w:lang w:val="en-IE"/>
        </w:rPr>
        <w:t>with the scope of the action (</w:t>
      </w:r>
      <w:r w:rsidR="009808C1" w:rsidRPr="006A41E2">
        <w:rPr>
          <w:sz w:val="18"/>
          <w:lang w:val="en-IE"/>
        </w:rPr>
        <w:t>e.g.,</w:t>
      </w:r>
      <w:r w:rsidRPr="006A41E2">
        <w:rPr>
          <w:sz w:val="18"/>
          <w:lang w:val="en-IE"/>
        </w:rPr>
        <w:t xml:space="preserve"> eligibility criteria), low interest from beneficiaries or participants, any deviation in the implementation of the action etc.</w:t>
      </w:r>
    </w:p>
  </w:footnote>
  <w:footnote w:id="7">
    <w:p w14:paraId="544B1A48" w14:textId="6FD8EEB5" w:rsidR="00BC54D3" w:rsidRPr="00BC54D3" w:rsidRDefault="00BC54D3">
      <w:pPr>
        <w:pStyle w:val="FootnoteText"/>
        <w:rPr>
          <w:sz w:val="18"/>
          <w:szCs w:val="18"/>
          <w:lang w:val="en-IE"/>
        </w:rPr>
      </w:pPr>
      <w:r>
        <w:rPr>
          <w:rStyle w:val="FootnoteReference"/>
        </w:rPr>
        <w:footnoteRef/>
      </w:r>
      <w:r>
        <w:rPr>
          <w:lang w:val="en-IE"/>
        </w:rPr>
        <w:tab/>
      </w:r>
      <w:r w:rsidRPr="00BC54D3">
        <w:rPr>
          <w:sz w:val="18"/>
          <w:szCs w:val="18"/>
          <w:lang w:val="en-IE"/>
        </w:rPr>
        <w:t xml:space="preserve">If relevant for this purpose, </w:t>
      </w:r>
      <w:r w:rsidRPr="00BC54D3">
        <w:rPr>
          <w:sz w:val="18"/>
          <w:szCs w:val="18"/>
        </w:rPr>
        <w:t>refer to the recommendations from quality control and evaluation mechanisms, such as</w:t>
      </w:r>
      <w:r>
        <w:rPr>
          <w:sz w:val="18"/>
          <w:szCs w:val="18"/>
        </w:rPr>
        <w:t xml:space="preserve">: (i) </w:t>
      </w:r>
      <w:r w:rsidRPr="00BC54D3">
        <w:rPr>
          <w:sz w:val="18"/>
          <w:szCs w:val="18"/>
        </w:rPr>
        <w:t xml:space="preserve">the Schengen evaluation and monitoring mechanism, in accordance with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(OJ L 295, 6.11.2013, p. 27), and Council Regulation (EU) 2022/922 of 9 June 2022 on the establishment and operation of an evaluation and monitoring mechanism to verify the application of the Schengen acquis, and repealing Regulation (EU) No 1053/2013 (OJ L 160, 15.6.2022, p. 1); or </w:t>
      </w:r>
      <w:r>
        <w:rPr>
          <w:sz w:val="18"/>
          <w:szCs w:val="18"/>
        </w:rPr>
        <w:t xml:space="preserve">(ii) </w:t>
      </w:r>
      <w:r w:rsidRPr="00BC54D3">
        <w:rPr>
          <w:sz w:val="18"/>
          <w:szCs w:val="18"/>
        </w:rPr>
        <w:t xml:space="preserve">other quality control and evaluation mechanisms, as applicable.  </w:t>
      </w:r>
    </w:p>
  </w:footnote>
  <w:footnote w:id="8">
    <w:p w14:paraId="4D62CC2C" w14:textId="4A2FFA46" w:rsidR="00586750" w:rsidRPr="006A41E2" w:rsidRDefault="00586750">
      <w:pPr>
        <w:pStyle w:val="FootnoteText"/>
        <w:rPr>
          <w:sz w:val="18"/>
          <w:lang w:val="en-IE"/>
        </w:rPr>
      </w:pPr>
      <w:r w:rsidRPr="00C629AE">
        <w:rPr>
          <w:rStyle w:val="FootnoteReference"/>
        </w:rPr>
        <w:footnoteRef/>
      </w:r>
      <w:r w:rsidRPr="006A41E2">
        <w:rPr>
          <w:sz w:val="18"/>
          <w:lang w:val="en-IE"/>
        </w:rPr>
        <w:tab/>
      </w:r>
      <w:r w:rsidRPr="00515026">
        <w:rPr>
          <w:sz w:val="18"/>
        </w:rPr>
        <w:t xml:space="preserve">In the case of specific actions with a transnational nature, the scope of this section varies </w:t>
      </w:r>
      <w:r>
        <w:rPr>
          <w:sz w:val="18"/>
        </w:rPr>
        <w:t>according to</w:t>
      </w:r>
      <w:r w:rsidRPr="00515026">
        <w:rPr>
          <w:sz w:val="18"/>
        </w:rPr>
        <w:t xml:space="preserve"> the distribution of roles and responsibilities between the lead Member States and the other participating Member States, as well as the choice of the reporting method</w:t>
      </w:r>
      <w:r>
        <w:rPr>
          <w:sz w:val="18"/>
        </w:rPr>
        <w:t xml:space="preserve">. This is described in the Commission’s note of 14 February 2022 - </w:t>
      </w:r>
      <w:r w:rsidRPr="00E80570">
        <w:rPr>
          <w:sz w:val="18"/>
        </w:rPr>
        <w:t xml:space="preserve">Transnational </w:t>
      </w:r>
      <w:r w:rsidR="009808C1" w:rsidRPr="00E80570">
        <w:rPr>
          <w:sz w:val="18"/>
        </w:rPr>
        <w:t>specific actions under the</w:t>
      </w:r>
      <w:r w:rsidRPr="00E80570">
        <w:rPr>
          <w:sz w:val="18"/>
        </w:rPr>
        <w:t xml:space="preserve"> Asylum, Migration and Integration Fund AMIF), the </w:t>
      </w:r>
      <w:r w:rsidR="009808C1" w:rsidRPr="00E80570">
        <w:rPr>
          <w:sz w:val="18"/>
        </w:rPr>
        <w:t>Instrument for</w:t>
      </w:r>
      <w:r w:rsidRPr="00E80570">
        <w:rPr>
          <w:sz w:val="18"/>
        </w:rPr>
        <w:t xml:space="preserve"> Financial Support for Border Management and Visa Policy (BMVI</w:t>
      </w:r>
      <w:r w:rsidR="009808C1">
        <w:rPr>
          <w:sz w:val="18"/>
        </w:rPr>
        <w:t>)</w:t>
      </w:r>
      <w:r w:rsidRPr="00E80570">
        <w:rPr>
          <w:sz w:val="18"/>
        </w:rPr>
        <w:t>,</w:t>
      </w:r>
      <w:r w:rsidR="009808C1">
        <w:rPr>
          <w:sz w:val="18"/>
        </w:rPr>
        <w:t xml:space="preserve"> </w:t>
      </w:r>
      <w:r w:rsidRPr="00E80570">
        <w:rPr>
          <w:sz w:val="18"/>
        </w:rPr>
        <w:t>and the Internal Security Fund (ISF) –</w:t>
      </w:r>
      <w:r>
        <w:rPr>
          <w:sz w:val="18"/>
        </w:rPr>
        <w:t xml:space="preserve"> </w:t>
      </w:r>
      <w:r w:rsidRPr="00E80570">
        <w:rPr>
          <w:sz w:val="18"/>
        </w:rPr>
        <w:t xml:space="preserve">Arrangements between partners </w:t>
      </w:r>
      <w:r>
        <w:rPr>
          <w:sz w:val="18"/>
        </w:rPr>
        <w:t>(</w:t>
      </w:r>
      <w:r w:rsidRPr="00515026">
        <w:rPr>
          <w:sz w:val="18"/>
        </w:rPr>
        <w:t>Ares</w:t>
      </w:r>
      <w:r>
        <w:rPr>
          <w:sz w:val="18"/>
        </w:rPr>
        <w:t xml:space="preserve"> </w:t>
      </w:r>
      <w:r w:rsidRPr="00515026">
        <w:rPr>
          <w:sz w:val="18"/>
        </w:rPr>
        <w:t>(2022)1060102</w:t>
      </w:r>
      <w:r>
        <w:rPr>
          <w:sz w:val="18"/>
        </w:rPr>
        <w:t>)</w:t>
      </w:r>
      <w:r w:rsidRPr="006A41E2">
        <w:rPr>
          <w:sz w:val="18"/>
        </w:rPr>
        <w:t>.</w:t>
      </w:r>
    </w:p>
  </w:footnote>
  <w:footnote w:id="9">
    <w:p w14:paraId="623F89A0" w14:textId="017D0127" w:rsidR="00586750" w:rsidRPr="007027D4" w:rsidRDefault="00586750" w:rsidP="00EA1A2F">
      <w:pPr>
        <w:pStyle w:val="FootnoteText"/>
        <w:rPr>
          <w:lang w:val="en-IE"/>
        </w:rPr>
      </w:pPr>
      <w:r>
        <w:rPr>
          <w:rStyle w:val="FootnoteReference"/>
        </w:rPr>
        <w:footnoteRef/>
      </w:r>
      <w:r>
        <w:rPr>
          <w:lang w:val="en-IE"/>
        </w:rPr>
        <w:tab/>
      </w:r>
      <w:r w:rsidR="00554DAE">
        <w:rPr>
          <w:sz w:val="18"/>
          <w:lang w:val="en-IE"/>
        </w:rPr>
        <w:t>Union</w:t>
      </w:r>
      <w:r w:rsidR="00554DAE" w:rsidRPr="007027D4">
        <w:rPr>
          <w:sz w:val="18"/>
          <w:lang w:val="en-IE"/>
        </w:rPr>
        <w:t xml:space="preserve"> </w:t>
      </w:r>
      <w:r w:rsidRPr="007027D4">
        <w:rPr>
          <w:sz w:val="18"/>
          <w:lang w:val="en-IE"/>
        </w:rPr>
        <w:t xml:space="preserve">added value is defined as the </w:t>
      </w:r>
      <w:r w:rsidRPr="007027D4">
        <w:rPr>
          <w:sz w:val="18"/>
        </w:rPr>
        <w:t>generation of results beyond what would have been achieved by Member States acting alone</w:t>
      </w:r>
      <w:r>
        <w:rPr>
          <w:sz w:val="18"/>
        </w:rPr>
        <w:t>.</w:t>
      </w:r>
      <w:r w:rsidRPr="007027D4">
        <w:rPr>
          <w:sz w:val="18"/>
          <w:lang w:val="en-IE"/>
        </w:rPr>
        <w:t xml:space="preserve"> </w:t>
      </w:r>
    </w:p>
  </w:footnote>
  <w:footnote w:id="10">
    <w:p w14:paraId="3A8FB091" w14:textId="77777777" w:rsidR="00586750" w:rsidRPr="007027D4" w:rsidRDefault="00586750" w:rsidP="00EA1A2F">
      <w:pPr>
        <w:pStyle w:val="FootnoteText"/>
        <w:rPr>
          <w:sz w:val="18"/>
          <w:lang w:val="en-IE"/>
        </w:rPr>
      </w:pPr>
      <w:r>
        <w:rPr>
          <w:rStyle w:val="FootnoteReference"/>
        </w:rPr>
        <w:footnoteRef/>
      </w:r>
      <w:r>
        <w:rPr>
          <w:lang w:val="en-IE"/>
        </w:rPr>
        <w:tab/>
      </w:r>
      <w:r w:rsidRPr="007027D4">
        <w:rPr>
          <w:sz w:val="18"/>
          <w:lang w:val="en-IE"/>
        </w:rPr>
        <w:t>For instance, in connection t</w:t>
      </w:r>
      <w:r>
        <w:rPr>
          <w:sz w:val="18"/>
          <w:lang w:val="en-IE"/>
        </w:rPr>
        <w:t>o procurement activities or any other preparatory steps taken.</w:t>
      </w:r>
    </w:p>
  </w:footnote>
  <w:footnote w:id="11">
    <w:p w14:paraId="357584AA" w14:textId="77777777" w:rsidR="00586750" w:rsidRPr="007027D4" w:rsidRDefault="00586750" w:rsidP="00EA1A2F">
      <w:pPr>
        <w:pStyle w:val="FootnoteText"/>
        <w:rPr>
          <w:lang w:val="en-IE"/>
        </w:rPr>
      </w:pPr>
      <w:r>
        <w:rPr>
          <w:rStyle w:val="FootnoteReference"/>
        </w:rPr>
        <w:footnoteRef/>
      </w:r>
      <w:r>
        <w:rPr>
          <w:lang w:val="en-IE"/>
        </w:rPr>
        <w:tab/>
      </w:r>
      <w:r w:rsidRPr="007027D4">
        <w:rPr>
          <w:sz w:val="18"/>
          <w:lang w:val="en-IE"/>
        </w:rPr>
        <w:t>For instance, in terms of deliverables, outputs, results etc.</w:t>
      </w:r>
    </w:p>
  </w:footnote>
  <w:footnote w:id="12">
    <w:p w14:paraId="786F4D5D" w14:textId="46D02EF5" w:rsidR="00586750" w:rsidRPr="006A41E2" w:rsidRDefault="00586750">
      <w:pPr>
        <w:pStyle w:val="FootnoteText"/>
        <w:rPr>
          <w:lang w:val="en-IE"/>
        </w:rPr>
      </w:pPr>
      <w:r w:rsidRPr="00C629AE">
        <w:rPr>
          <w:rStyle w:val="FootnoteReference"/>
        </w:rPr>
        <w:footnoteRef/>
      </w:r>
      <w:r w:rsidRPr="006A41E2">
        <w:rPr>
          <w:sz w:val="18"/>
          <w:lang w:val="en-IE"/>
        </w:rPr>
        <w:tab/>
      </w:r>
      <w:r w:rsidRPr="006A41E2">
        <w:rPr>
          <w:sz w:val="18"/>
        </w:rPr>
        <w:t xml:space="preserve">As </w:t>
      </w:r>
      <w:r>
        <w:rPr>
          <w:sz w:val="18"/>
        </w:rPr>
        <w:t>set out</w:t>
      </w:r>
      <w:r w:rsidRPr="006A41E2">
        <w:rPr>
          <w:sz w:val="18"/>
        </w:rPr>
        <w:t xml:space="preserve"> in </w:t>
      </w:r>
      <w:r>
        <w:rPr>
          <w:sz w:val="18"/>
        </w:rPr>
        <w:t>the Commission’s note of 14 February 2022 (</w:t>
      </w:r>
      <w:r w:rsidRPr="006A41E2">
        <w:rPr>
          <w:sz w:val="18"/>
        </w:rPr>
        <w:t>Ares</w:t>
      </w:r>
      <w:r>
        <w:rPr>
          <w:sz w:val="18"/>
        </w:rPr>
        <w:t xml:space="preserve"> </w:t>
      </w:r>
      <w:r w:rsidRPr="006A41E2">
        <w:rPr>
          <w:sz w:val="18"/>
        </w:rPr>
        <w:t>(2022)1060102</w:t>
      </w:r>
      <w:r>
        <w:rPr>
          <w:sz w:val="18"/>
        </w:rPr>
        <w:t>).</w:t>
      </w:r>
    </w:p>
  </w:footnote>
  <w:footnote w:id="13">
    <w:p w14:paraId="60F7E04B" w14:textId="7A6FADA2" w:rsidR="00586750" w:rsidRPr="006A41E2" w:rsidRDefault="00586750">
      <w:pPr>
        <w:pStyle w:val="FootnoteText"/>
        <w:rPr>
          <w:sz w:val="18"/>
          <w:lang w:val="en-IE"/>
        </w:rPr>
      </w:pPr>
      <w:r w:rsidRPr="00C629AE">
        <w:rPr>
          <w:rStyle w:val="FootnoteReference"/>
        </w:rPr>
        <w:footnoteRef/>
      </w:r>
      <w:r w:rsidRPr="006A41E2">
        <w:rPr>
          <w:sz w:val="18"/>
          <w:lang w:val="en-IE"/>
        </w:rPr>
        <w:tab/>
      </w:r>
      <w:r w:rsidRPr="006A41E2">
        <w:rPr>
          <w:sz w:val="18"/>
        </w:rPr>
        <w:t>Total eligible cost of selected operations</w:t>
      </w:r>
      <w:r w:rsidR="00BC54D3">
        <w:rPr>
          <w:sz w:val="18"/>
        </w:rPr>
        <w:t>, as reported to the Commission</w:t>
      </w:r>
      <w:r w:rsidRPr="006A41E2">
        <w:rPr>
          <w:sz w:val="18"/>
        </w:rPr>
        <w:t xml:space="preserve"> by 31 July of the last accounting year</w:t>
      </w:r>
      <w:r>
        <w:rPr>
          <w:sz w:val="18"/>
        </w:rPr>
        <w:t>.</w:t>
      </w:r>
    </w:p>
  </w:footnote>
  <w:footnote w:id="14">
    <w:p w14:paraId="206492A9" w14:textId="7BC3C56E" w:rsidR="00586750" w:rsidRPr="006A41E2" w:rsidRDefault="00586750">
      <w:pPr>
        <w:pStyle w:val="FootnoteText"/>
        <w:rPr>
          <w:sz w:val="18"/>
          <w:lang w:val="en-IE"/>
        </w:rPr>
      </w:pPr>
      <w:r w:rsidRPr="00C629AE">
        <w:rPr>
          <w:rStyle w:val="FootnoteReference"/>
        </w:rPr>
        <w:footnoteRef/>
      </w:r>
      <w:r w:rsidRPr="006A41E2">
        <w:rPr>
          <w:sz w:val="18"/>
          <w:lang w:val="en-IE"/>
        </w:rPr>
        <w:tab/>
      </w:r>
      <w:r w:rsidRPr="006A41E2">
        <w:rPr>
          <w:sz w:val="18"/>
        </w:rPr>
        <w:t xml:space="preserve">Total amount of eligible expenditure </w:t>
      </w:r>
      <w:r w:rsidR="00040782">
        <w:rPr>
          <w:sz w:val="18"/>
        </w:rPr>
        <w:t>declared by the</w:t>
      </w:r>
      <w:r w:rsidR="004F5C72">
        <w:rPr>
          <w:sz w:val="18"/>
        </w:rPr>
        <w:t xml:space="preserve"> </w:t>
      </w:r>
      <w:r w:rsidRPr="006A41E2">
        <w:rPr>
          <w:sz w:val="18"/>
        </w:rPr>
        <w:t xml:space="preserve">beneficiaries </w:t>
      </w:r>
      <w:r w:rsidR="00040782">
        <w:rPr>
          <w:sz w:val="18"/>
        </w:rPr>
        <w:t>to the managing authority</w:t>
      </w:r>
      <w:r w:rsidRPr="006A41E2">
        <w:rPr>
          <w:sz w:val="18"/>
        </w:rPr>
        <w:t xml:space="preserve">, </w:t>
      </w:r>
      <w:r w:rsidR="00040782">
        <w:rPr>
          <w:sz w:val="18"/>
        </w:rPr>
        <w:t xml:space="preserve">as reported to the Commission </w:t>
      </w:r>
      <w:r w:rsidRPr="006A41E2">
        <w:rPr>
          <w:sz w:val="18"/>
        </w:rPr>
        <w:t>by 31 July of the last accounting year</w:t>
      </w:r>
      <w:r>
        <w:rPr>
          <w:sz w:val="18"/>
        </w:rPr>
        <w:t>.</w:t>
      </w:r>
    </w:p>
  </w:footnote>
  <w:footnote w:id="15">
    <w:p w14:paraId="4D5B2912" w14:textId="77777777" w:rsidR="00586750" w:rsidRPr="006A41E2" w:rsidRDefault="00586750">
      <w:pPr>
        <w:pStyle w:val="FootnoteText"/>
        <w:rPr>
          <w:lang w:val="en-IE"/>
        </w:rPr>
      </w:pPr>
      <w:r w:rsidRPr="00C629AE">
        <w:rPr>
          <w:rStyle w:val="FootnoteReference"/>
        </w:rPr>
        <w:footnoteRef/>
      </w:r>
      <w:r w:rsidRPr="006A41E2">
        <w:rPr>
          <w:sz w:val="18"/>
          <w:lang w:val="en-IE"/>
        </w:rPr>
        <w:tab/>
      </w:r>
      <w:r w:rsidRPr="006A41E2">
        <w:rPr>
          <w:sz w:val="18"/>
        </w:rPr>
        <w:t>If specific actions represent a top-up of previous operations and there are no dedicated monitoring arrangements, report the output and results pro-</w:t>
      </w:r>
      <w:r>
        <w:rPr>
          <w:sz w:val="18"/>
        </w:rPr>
        <w:t>rata</w:t>
      </w:r>
      <w:r w:rsidRPr="006A41E2">
        <w:rPr>
          <w:sz w:val="18"/>
        </w:rPr>
        <w:t>.</w:t>
      </w:r>
    </w:p>
  </w:footnote>
  <w:footnote w:id="16">
    <w:p w14:paraId="3D4382E9" w14:textId="77777777" w:rsidR="00586750" w:rsidRPr="002229DC" w:rsidRDefault="00586750">
      <w:pPr>
        <w:pStyle w:val="FootnoteText"/>
      </w:pPr>
      <w:r w:rsidRPr="006D7F5F">
        <w:rPr>
          <w:rStyle w:val="FootnoteReference"/>
        </w:rPr>
        <w:footnoteRef/>
      </w:r>
      <w:r>
        <w:tab/>
      </w:r>
      <w:r w:rsidRPr="007027D4">
        <w:rPr>
          <w:bCs/>
          <w:color w:val="333333"/>
          <w:sz w:val="18"/>
          <w:szCs w:val="18"/>
          <w:shd w:val="clear" w:color="auto" w:fill="FFFFFF"/>
        </w:rPr>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w:t>
      </w:r>
      <w:r>
        <w:rPr>
          <w:bCs/>
          <w:color w:val="333333"/>
          <w:sz w:val="18"/>
          <w:szCs w:val="18"/>
          <w:shd w:val="clear" w:color="auto" w:fill="FFFFFF"/>
        </w:rPr>
        <w:t xml:space="preserve"> </w:t>
      </w:r>
      <w:r w:rsidRPr="00717D45">
        <w:rPr>
          <w:bCs/>
          <w:color w:val="333333"/>
          <w:sz w:val="18"/>
          <w:szCs w:val="18"/>
          <w:shd w:val="clear" w:color="auto" w:fill="FFFFFF"/>
        </w:rPr>
        <w:t xml:space="preserve">(OJ L 150, </w:t>
      </w:r>
      <w:r>
        <w:rPr>
          <w:sz w:val="18"/>
          <w:szCs w:val="18"/>
        </w:rPr>
        <w:t>20.5.2014, p.93</w:t>
      </w:r>
      <w:r w:rsidRPr="00717D45">
        <w:rPr>
          <w:sz w:val="18"/>
          <w:szCs w:val="18"/>
        </w:rPr>
        <w:t>)</w:t>
      </w:r>
      <w:r>
        <w:rPr>
          <w:sz w:val="18"/>
          <w:szCs w:val="18"/>
        </w:rPr>
        <w:t>.</w:t>
      </w:r>
    </w:p>
  </w:footnote>
  <w:footnote w:id="17">
    <w:p w14:paraId="620209A5" w14:textId="77777777" w:rsidR="00586750" w:rsidRPr="00717D45" w:rsidRDefault="00586750" w:rsidP="0059250C">
      <w:pPr>
        <w:pStyle w:val="FootnoteText"/>
        <w:rPr>
          <w:sz w:val="18"/>
          <w:szCs w:val="18"/>
          <w:lang w:val="en-IE"/>
        </w:rPr>
      </w:pPr>
      <w:r w:rsidRPr="006D7F5F">
        <w:rPr>
          <w:rStyle w:val="FootnoteReference"/>
        </w:rPr>
        <w:footnoteRef/>
      </w:r>
      <w:r>
        <w:tab/>
      </w:r>
      <w:r w:rsidRPr="00717D45">
        <w:rPr>
          <w:bCs/>
          <w:color w:val="333333"/>
          <w:sz w:val="18"/>
          <w:szCs w:val="18"/>
          <w:shd w:val="clear" w:color="auto" w:fill="FFFFFF"/>
        </w:rPr>
        <w:t xml:space="preserve">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w:t>
      </w:r>
      <w:r w:rsidRPr="00717D45">
        <w:rPr>
          <w:sz w:val="18"/>
          <w:szCs w:val="18"/>
        </w:rPr>
        <w:t>20.5.2014, p.112)</w:t>
      </w:r>
      <w:r>
        <w:rPr>
          <w:sz w:val="18"/>
          <w:szCs w:val="18"/>
        </w:rPr>
        <w:t>.</w:t>
      </w:r>
    </w:p>
    <w:p w14:paraId="0338F974" w14:textId="77777777" w:rsidR="00586750" w:rsidRPr="007027D4" w:rsidRDefault="00586750">
      <w:pPr>
        <w:pStyle w:val="FootnoteText"/>
        <w:rPr>
          <w:lang w:val="en-IE"/>
        </w:rPr>
      </w:pPr>
    </w:p>
  </w:footnote>
  <w:footnote w:id="18">
    <w:p w14:paraId="00D44AB9" w14:textId="49399D41" w:rsidR="00397A63" w:rsidRPr="007027D4" w:rsidRDefault="00397A63" w:rsidP="00397A63">
      <w:pPr>
        <w:pStyle w:val="FootnoteText"/>
        <w:rPr>
          <w:lang w:val="en-IE"/>
        </w:rPr>
      </w:pPr>
      <w:r>
        <w:rPr>
          <w:rStyle w:val="FootnoteReference"/>
        </w:rPr>
        <w:footnoteRef/>
      </w:r>
      <w:r>
        <w:rPr>
          <w:lang w:val="en-IE"/>
        </w:rPr>
        <w:tab/>
      </w:r>
      <w:r w:rsidRPr="007027D4">
        <w:rPr>
          <w:sz w:val="18"/>
          <w:lang w:val="en-IE"/>
        </w:rPr>
        <w:t xml:space="preserve">Such as cooperation at </w:t>
      </w:r>
      <w:r w:rsidR="00554DAE">
        <w:rPr>
          <w:sz w:val="18"/>
          <w:lang w:val="en-IE"/>
        </w:rPr>
        <w:t>Union</w:t>
      </w:r>
      <w:r w:rsidR="00554DAE" w:rsidRPr="007027D4">
        <w:rPr>
          <w:sz w:val="18"/>
          <w:lang w:val="en-IE"/>
        </w:rPr>
        <w:t xml:space="preserve"> </w:t>
      </w:r>
      <w:r w:rsidRPr="007027D4">
        <w:rPr>
          <w:sz w:val="18"/>
          <w:lang w:val="en-IE"/>
        </w:rPr>
        <w:t xml:space="preserve">level between the Member States, and between Member States and relevant </w:t>
      </w:r>
      <w:r w:rsidR="00554DAE">
        <w:rPr>
          <w:sz w:val="18"/>
          <w:lang w:val="en-IE"/>
        </w:rPr>
        <w:t>Union</w:t>
      </w:r>
      <w:r w:rsidR="00554DAE" w:rsidRPr="007027D4">
        <w:rPr>
          <w:sz w:val="18"/>
          <w:lang w:val="en-IE"/>
        </w:rPr>
        <w:t xml:space="preserve"> </w:t>
      </w:r>
      <w:r w:rsidRPr="007027D4">
        <w:rPr>
          <w:sz w:val="18"/>
          <w:lang w:val="en-IE"/>
        </w:rPr>
        <w:t xml:space="preserve">bodies, </w:t>
      </w:r>
      <w:r w:rsidR="009808C1" w:rsidRPr="007027D4">
        <w:rPr>
          <w:sz w:val="18"/>
          <w:lang w:val="en-IE"/>
        </w:rPr>
        <w:t>offices,</w:t>
      </w:r>
      <w:r w:rsidRPr="007027D4">
        <w:rPr>
          <w:sz w:val="18"/>
          <w:lang w:val="en-IE"/>
        </w:rPr>
        <w:t xml:space="preserve"> and agencies, as well as cooperation at national level among the competent authorities within each Member State</w:t>
      </w:r>
      <w:r>
        <w:rPr>
          <w:sz w:val="18"/>
          <w:lang w:val="en-IE"/>
        </w:rPr>
        <w:t>.</w:t>
      </w:r>
    </w:p>
  </w:footnote>
  <w:footnote w:id="19">
    <w:p w14:paraId="751B4E8F" w14:textId="77777777" w:rsidR="001B7FE6" w:rsidRPr="00DF7BF3" w:rsidRDefault="00FC3F33" w:rsidP="001B7FE6">
      <w:pPr>
        <w:pStyle w:val="FootnoteText"/>
        <w:rPr>
          <w:sz w:val="18"/>
        </w:rPr>
      </w:pPr>
      <w:r>
        <w:rPr>
          <w:rStyle w:val="FootnoteReference"/>
        </w:rPr>
        <w:footnoteRef/>
      </w:r>
      <w:r>
        <w:rPr>
          <w:lang w:val="en-IE"/>
        </w:rPr>
        <w:tab/>
      </w:r>
      <w:r w:rsidR="001B7FE6" w:rsidRPr="00DF7BF3">
        <w:rPr>
          <w:sz w:val="18"/>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 (</w:t>
      </w:r>
      <w:hyperlink r:id="rId1" w:history="1">
        <w:r w:rsidR="001B7FE6" w:rsidRPr="00DF7BF3">
          <w:rPr>
            <w:sz w:val="18"/>
          </w:rPr>
          <w:t>OJ L 135, 22.5.2019, p. 27</w:t>
        </w:r>
      </w:hyperlink>
      <w:r w:rsidR="001B7FE6" w:rsidRPr="00DF7BF3">
        <w:rPr>
          <w:sz w:val="18"/>
        </w:rPr>
        <w:t>).</w:t>
      </w:r>
    </w:p>
    <w:p w14:paraId="6C6350F2" w14:textId="33A1BA43" w:rsidR="00FC3F33" w:rsidRPr="001B7FE6" w:rsidRDefault="001B7FE6" w:rsidP="001B7FE6">
      <w:pPr>
        <w:pStyle w:val="FootnoteText"/>
        <w:ind w:firstLine="0"/>
        <w:rPr>
          <w:lang w:val="en-IE"/>
        </w:rPr>
      </w:pPr>
      <w:r w:rsidRPr="00DF7BF3">
        <w:rPr>
          <w:sz w:val="18"/>
        </w:rPr>
        <w:t>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w:t>
      </w:r>
      <w:hyperlink r:id="rId2" w:history="1">
        <w:r w:rsidRPr="00DF7BF3">
          <w:rPr>
            <w:sz w:val="18"/>
          </w:rPr>
          <w:t>OJ L 135, 22.5.2019, p. 85</w:t>
        </w:r>
      </w:hyperlink>
      <w:r w:rsidRPr="00DF7BF3">
        <w:rPr>
          <w:sz w:val="18"/>
        </w:rPr>
        <w:t>).</w:t>
      </w:r>
    </w:p>
  </w:footnote>
  <w:footnote w:id="20">
    <w:p w14:paraId="7A7666EA" w14:textId="6EC21CDA" w:rsidR="00586750" w:rsidRPr="006A41E2" w:rsidRDefault="00586750" w:rsidP="006A41E2">
      <w:pPr>
        <w:pStyle w:val="FootnoteText"/>
        <w:rPr>
          <w:sz w:val="18"/>
          <w:lang w:val="en-IE"/>
        </w:rPr>
      </w:pPr>
      <w:r w:rsidRPr="00C629AE">
        <w:rPr>
          <w:rStyle w:val="FootnoteReference"/>
        </w:rPr>
        <w:footnoteRef/>
      </w:r>
      <w:r w:rsidRPr="006A41E2">
        <w:rPr>
          <w:sz w:val="18"/>
          <w:lang w:val="en-IE"/>
        </w:rPr>
        <w:tab/>
      </w:r>
      <w:r w:rsidRPr="006A41E2">
        <w:rPr>
          <w:sz w:val="18"/>
        </w:rPr>
        <w:t>Total eligible cost of selected operations</w:t>
      </w:r>
      <w:r w:rsidR="007A386C">
        <w:rPr>
          <w:sz w:val="18"/>
        </w:rPr>
        <w:t>, as reported to the Commission</w:t>
      </w:r>
      <w:r w:rsidRPr="006A41E2">
        <w:rPr>
          <w:sz w:val="18"/>
        </w:rPr>
        <w:t xml:space="preserve"> by 31 July of the last accounting year</w:t>
      </w:r>
      <w:r>
        <w:rPr>
          <w:sz w:val="18"/>
        </w:rPr>
        <w:t>.</w:t>
      </w:r>
    </w:p>
  </w:footnote>
  <w:footnote w:id="21">
    <w:p w14:paraId="2B570729" w14:textId="2FDE4DA4" w:rsidR="00586750" w:rsidRPr="006A41E2" w:rsidRDefault="00586750" w:rsidP="006A41E2">
      <w:pPr>
        <w:pStyle w:val="FootnoteText"/>
        <w:rPr>
          <w:lang w:val="en-IE"/>
        </w:rPr>
      </w:pPr>
      <w:r w:rsidRPr="00C629AE">
        <w:rPr>
          <w:rStyle w:val="FootnoteReference"/>
        </w:rPr>
        <w:footnoteRef/>
      </w:r>
      <w:r w:rsidRPr="006A41E2">
        <w:rPr>
          <w:sz w:val="18"/>
          <w:lang w:val="en-IE"/>
        </w:rPr>
        <w:tab/>
      </w:r>
      <w:r w:rsidRPr="006A41E2">
        <w:rPr>
          <w:sz w:val="18"/>
        </w:rPr>
        <w:t xml:space="preserve">Total amount of eligible expenditure </w:t>
      </w:r>
      <w:r w:rsidR="007A386C">
        <w:rPr>
          <w:sz w:val="18"/>
        </w:rPr>
        <w:t>declared by t</w:t>
      </w:r>
      <w:r w:rsidR="00870992">
        <w:rPr>
          <w:sz w:val="18"/>
        </w:rPr>
        <w:t>he beneficiaries to the managing a</w:t>
      </w:r>
      <w:r w:rsidR="007A386C">
        <w:rPr>
          <w:sz w:val="18"/>
        </w:rPr>
        <w:t>uthority</w:t>
      </w:r>
      <w:r w:rsidRPr="006A41E2">
        <w:rPr>
          <w:sz w:val="18"/>
        </w:rPr>
        <w:t xml:space="preserve">, </w:t>
      </w:r>
      <w:r w:rsidR="007A386C">
        <w:rPr>
          <w:sz w:val="18"/>
        </w:rPr>
        <w:t xml:space="preserve">as reported to the Commission </w:t>
      </w:r>
      <w:r w:rsidRPr="006A41E2">
        <w:rPr>
          <w:sz w:val="18"/>
        </w:rPr>
        <w:t>by 31 July of the last accounting year</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B68A" w14:textId="77777777" w:rsidR="00783E68" w:rsidRPr="00783E68" w:rsidRDefault="00783E68" w:rsidP="0078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1E82" w14:textId="77777777" w:rsidR="00783E68" w:rsidRPr="00783E68" w:rsidRDefault="00783E68" w:rsidP="00783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E2A5" w14:textId="77777777" w:rsidR="00783E68" w:rsidRPr="00783E68" w:rsidRDefault="00783E68" w:rsidP="00783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E2164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7F42C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C3473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1F03B0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4411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17051A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B43B3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F7CFE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9A6C9F"/>
    <w:multiLevelType w:val="hybridMultilevel"/>
    <w:tmpl w:val="08063CA2"/>
    <w:lvl w:ilvl="0" w:tplc="72D01D84">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B892A70"/>
    <w:multiLevelType w:val="hybridMultilevel"/>
    <w:tmpl w:val="A6849644"/>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D83D12"/>
    <w:multiLevelType w:val="hybridMultilevel"/>
    <w:tmpl w:val="1D5A85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E6B3252"/>
    <w:multiLevelType w:val="hybridMultilevel"/>
    <w:tmpl w:val="4BF44A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2C55BEF"/>
    <w:multiLevelType w:val="hybridMultilevel"/>
    <w:tmpl w:val="77708A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2046543"/>
    <w:multiLevelType w:val="hybridMultilevel"/>
    <w:tmpl w:val="884074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num>
  <w:num w:numId="12">
    <w:abstractNumId w:val="23"/>
    <w:lvlOverride w:ilvl="0">
      <w:startOverride w:val="1"/>
    </w:lvlOverride>
  </w:num>
  <w:num w:numId="13">
    <w:abstractNumId w:val="23"/>
  </w:num>
  <w:num w:numId="14">
    <w:abstractNumId w:val="14"/>
  </w:num>
  <w:num w:numId="15">
    <w:abstractNumId w:val="26"/>
  </w:num>
  <w:num w:numId="16">
    <w:abstractNumId w:val="12"/>
  </w:num>
  <w:num w:numId="17">
    <w:abstractNumId w:val="15"/>
  </w:num>
  <w:num w:numId="18">
    <w:abstractNumId w:val="16"/>
  </w:num>
  <w:num w:numId="19">
    <w:abstractNumId w:val="9"/>
  </w:num>
  <w:num w:numId="20">
    <w:abstractNumId w:val="25"/>
  </w:num>
  <w:num w:numId="21">
    <w:abstractNumId w:val="8"/>
  </w:num>
  <w:num w:numId="22">
    <w:abstractNumId w:val="17"/>
  </w:num>
  <w:num w:numId="23">
    <w:abstractNumId w:val="21"/>
  </w:num>
  <w:num w:numId="24">
    <w:abstractNumId w:val="22"/>
  </w:num>
  <w:num w:numId="25">
    <w:abstractNumId w:val="11"/>
  </w:num>
  <w:num w:numId="26">
    <w:abstractNumId w:val="20"/>
  </w:num>
  <w:num w:numId="27">
    <w:abstractNumId w:val="28"/>
  </w:num>
  <w:num w:numId="28">
    <w:abstractNumId w:val="13"/>
  </w:num>
  <w:num w:numId="29">
    <w:abstractNumId w:val="19"/>
  </w:num>
  <w:num w:numId="30">
    <w:abstractNumId w:val="24"/>
  </w:num>
  <w:num w:numId="31">
    <w:abstractNumId w:val="10"/>
  </w:num>
  <w:num w:numId="32">
    <w:abstractNumId w:val="18"/>
  </w:num>
  <w:num w:numId="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ttachedTemplate r:id="rId1"/>
  <w:defaultTabStop w:val="720"/>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1-17 08:33: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B0E02DA-5C44-4C57-9F3C-12B1D09A8025"/>
    <w:docVar w:name="LW_COVERPAGE_TYPE" w:val="1"/>
    <w:docVar w:name="LW_CROSSREFERENCE" w:val="&lt;UNUSED&gt;"/>
    <w:docVar w:name="LW_DocType" w:val="ANNEX"/>
    <w:docVar w:name="LW_EMISSION" w:val="25.1.2023"/>
    <w:docVar w:name="LW_EMISSION_ISODATE" w:val="2023-01-25"/>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establishing the template for the annual performance reports on the Internal Security Fund for the 2021-2027 programming period, pursuant to Regulation (EU) 2021/1149"/>
    <w:docVar w:name="LW_OBJETACTEPRINCIPAL.CP" w:val="establishing the template for the annual performance reports on the Internal Security Fund for the 2021-2027 programming period, pursuant to Regulation (EU) 2021/1149"/>
    <w:docVar w:name="LW_PART_NBR" w:val="1"/>
    <w:docVar w:name="LW_PART_NBR_TOTAL" w:val="1"/>
    <w:docVar w:name="LW_REF.INST.NEW" w:val="C"/>
    <w:docVar w:name="LW_REF.INST.NEW_ADOPTED" w:val="final"/>
    <w:docVar w:name="LW_REF.INST.NEW_TEXT" w:val="(2023)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w:docVar w:name="LW_TYPEACTEPRINCIPAL.CP" w:val="Commission Implementing Regulation"/>
    <w:docVar w:name="LwApiVersions" w:val="LW4CoDe 1.23.2.0; LW 8.0, Build 20211117"/>
  </w:docVars>
  <w:rsids>
    <w:rsidRoot w:val="00555224"/>
    <w:rsid w:val="0000016F"/>
    <w:rsid w:val="00000955"/>
    <w:rsid w:val="000133CF"/>
    <w:rsid w:val="00014F7C"/>
    <w:rsid w:val="0001528B"/>
    <w:rsid w:val="00022818"/>
    <w:rsid w:val="00040782"/>
    <w:rsid w:val="00046462"/>
    <w:rsid w:val="0005122B"/>
    <w:rsid w:val="00053829"/>
    <w:rsid w:val="00062BA0"/>
    <w:rsid w:val="000648DF"/>
    <w:rsid w:val="00070021"/>
    <w:rsid w:val="00075EDB"/>
    <w:rsid w:val="00081CCF"/>
    <w:rsid w:val="00083808"/>
    <w:rsid w:val="00085A16"/>
    <w:rsid w:val="00085D54"/>
    <w:rsid w:val="000903CC"/>
    <w:rsid w:val="00090CC0"/>
    <w:rsid w:val="00092766"/>
    <w:rsid w:val="00093D5B"/>
    <w:rsid w:val="00096232"/>
    <w:rsid w:val="000A0779"/>
    <w:rsid w:val="000A0927"/>
    <w:rsid w:val="000A1C8F"/>
    <w:rsid w:val="000B7900"/>
    <w:rsid w:val="000C122F"/>
    <w:rsid w:val="000C4CC6"/>
    <w:rsid w:val="000D1693"/>
    <w:rsid w:val="000D44D0"/>
    <w:rsid w:val="000D4E66"/>
    <w:rsid w:val="000D5E2F"/>
    <w:rsid w:val="000E3F04"/>
    <w:rsid w:val="000E45B7"/>
    <w:rsid w:val="000F1C58"/>
    <w:rsid w:val="00101670"/>
    <w:rsid w:val="00104153"/>
    <w:rsid w:val="00104E34"/>
    <w:rsid w:val="00111D07"/>
    <w:rsid w:val="00113DE6"/>
    <w:rsid w:val="00122018"/>
    <w:rsid w:val="00133D14"/>
    <w:rsid w:val="00141E24"/>
    <w:rsid w:val="00147182"/>
    <w:rsid w:val="00150BCE"/>
    <w:rsid w:val="00152894"/>
    <w:rsid w:val="00153209"/>
    <w:rsid w:val="0015448D"/>
    <w:rsid w:val="00154541"/>
    <w:rsid w:val="0016130D"/>
    <w:rsid w:val="00163816"/>
    <w:rsid w:val="001647FB"/>
    <w:rsid w:val="001668BA"/>
    <w:rsid w:val="00181A3F"/>
    <w:rsid w:val="00184054"/>
    <w:rsid w:val="0019152D"/>
    <w:rsid w:val="001A1F71"/>
    <w:rsid w:val="001A292A"/>
    <w:rsid w:val="001B037F"/>
    <w:rsid w:val="001B7FE6"/>
    <w:rsid w:val="001C0807"/>
    <w:rsid w:val="001C48FC"/>
    <w:rsid w:val="001C4994"/>
    <w:rsid w:val="001D175D"/>
    <w:rsid w:val="001D2E88"/>
    <w:rsid w:val="001E0672"/>
    <w:rsid w:val="001E1588"/>
    <w:rsid w:val="001E3E4B"/>
    <w:rsid w:val="001F0DAA"/>
    <w:rsid w:val="001F71DC"/>
    <w:rsid w:val="001F7F00"/>
    <w:rsid w:val="00200041"/>
    <w:rsid w:val="00200C0C"/>
    <w:rsid w:val="00202C38"/>
    <w:rsid w:val="00216D79"/>
    <w:rsid w:val="002229DC"/>
    <w:rsid w:val="00226735"/>
    <w:rsid w:val="00231338"/>
    <w:rsid w:val="00232CBE"/>
    <w:rsid w:val="00240E55"/>
    <w:rsid w:val="00244632"/>
    <w:rsid w:val="00244A46"/>
    <w:rsid w:val="00251735"/>
    <w:rsid w:val="00254824"/>
    <w:rsid w:val="00260785"/>
    <w:rsid w:val="0026083B"/>
    <w:rsid w:val="00267706"/>
    <w:rsid w:val="00277AF0"/>
    <w:rsid w:val="00284373"/>
    <w:rsid w:val="00284D38"/>
    <w:rsid w:val="00296314"/>
    <w:rsid w:val="002A48C2"/>
    <w:rsid w:val="002A4FD7"/>
    <w:rsid w:val="002A6B7D"/>
    <w:rsid w:val="002C36F8"/>
    <w:rsid w:val="002C4A46"/>
    <w:rsid w:val="002C4C72"/>
    <w:rsid w:val="002C60F2"/>
    <w:rsid w:val="002E13C5"/>
    <w:rsid w:val="002E1F4E"/>
    <w:rsid w:val="002E355D"/>
    <w:rsid w:val="002F1935"/>
    <w:rsid w:val="002F2410"/>
    <w:rsid w:val="002F5106"/>
    <w:rsid w:val="002F7FBE"/>
    <w:rsid w:val="003003B7"/>
    <w:rsid w:val="00303DEC"/>
    <w:rsid w:val="00305958"/>
    <w:rsid w:val="00310023"/>
    <w:rsid w:val="0032287F"/>
    <w:rsid w:val="0032373D"/>
    <w:rsid w:val="00323AA1"/>
    <w:rsid w:val="00327883"/>
    <w:rsid w:val="003329B3"/>
    <w:rsid w:val="00332A4B"/>
    <w:rsid w:val="00333009"/>
    <w:rsid w:val="00335CD7"/>
    <w:rsid w:val="00335F4B"/>
    <w:rsid w:val="0034446C"/>
    <w:rsid w:val="00347EE8"/>
    <w:rsid w:val="0035085A"/>
    <w:rsid w:val="00351C18"/>
    <w:rsid w:val="00352119"/>
    <w:rsid w:val="0035484F"/>
    <w:rsid w:val="003635E8"/>
    <w:rsid w:val="003651F7"/>
    <w:rsid w:val="0037290B"/>
    <w:rsid w:val="00380955"/>
    <w:rsid w:val="003923CA"/>
    <w:rsid w:val="003945F3"/>
    <w:rsid w:val="0039781D"/>
    <w:rsid w:val="00397A63"/>
    <w:rsid w:val="003A30A1"/>
    <w:rsid w:val="003A50A2"/>
    <w:rsid w:val="003A6A89"/>
    <w:rsid w:val="003B1B4A"/>
    <w:rsid w:val="003B217D"/>
    <w:rsid w:val="003B616F"/>
    <w:rsid w:val="003E338B"/>
    <w:rsid w:val="003E36B0"/>
    <w:rsid w:val="003E4922"/>
    <w:rsid w:val="003E49B2"/>
    <w:rsid w:val="003E7D66"/>
    <w:rsid w:val="003E7F9C"/>
    <w:rsid w:val="003F6208"/>
    <w:rsid w:val="003F695F"/>
    <w:rsid w:val="00405D43"/>
    <w:rsid w:val="00410DEC"/>
    <w:rsid w:val="004119DA"/>
    <w:rsid w:val="0041224B"/>
    <w:rsid w:val="00425B0B"/>
    <w:rsid w:val="0043726A"/>
    <w:rsid w:val="00437336"/>
    <w:rsid w:val="0044327D"/>
    <w:rsid w:val="00444C44"/>
    <w:rsid w:val="004630E2"/>
    <w:rsid w:val="004708BF"/>
    <w:rsid w:val="00471955"/>
    <w:rsid w:val="00475B8F"/>
    <w:rsid w:val="00481574"/>
    <w:rsid w:val="00490445"/>
    <w:rsid w:val="00492A43"/>
    <w:rsid w:val="0049785B"/>
    <w:rsid w:val="004A1E65"/>
    <w:rsid w:val="004A30F9"/>
    <w:rsid w:val="004C5B3C"/>
    <w:rsid w:val="004D136E"/>
    <w:rsid w:val="004D3939"/>
    <w:rsid w:val="004E137F"/>
    <w:rsid w:val="004E701A"/>
    <w:rsid w:val="004F00F8"/>
    <w:rsid w:val="004F1E95"/>
    <w:rsid w:val="004F5BFE"/>
    <w:rsid w:val="004F5C72"/>
    <w:rsid w:val="004F5E71"/>
    <w:rsid w:val="005000D5"/>
    <w:rsid w:val="00502B20"/>
    <w:rsid w:val="00515026"/>
    <w:rsid w:val="005202F1"/>
    <w:rsid w:val="00520A2F"/>
    <w:rsid w:val="00532177"/>
    <w:rsid w:val="00535AC2"/>
    <w:rsid w:val="005365AB"/>
    <w:rsid w:val="00544E72"/>
    <w:rsid w:val="00545857"/>
    <w:rsid w:val="00552A8B"/>
    <w:rsid w:val="00554DAE"/>
    <w:rsid w:val="00555224"/>
    <w:rsid w:val="00555916"/>
    <w:rsid w:val="00561E3E"/>
    <w:rsid w:val="00562CA6"/>
    <w:rsid w:val="0056447F"/>
    <w:rsid w:val="00570DF3"/>
    <w:rsid w:val="00571255"/>
    <w:rsid w:val="005712C1"/>
    <w:rsid w:val="00582244"/>
    <w:rsid w:val="005856EF"/>
    <w:rsid w:val="00586750"/>
    <w:rsid w:val="00591AB0"/>
    <w:rsid w:val="0059250C"/>
    <w:rsid w:val="005A6696"/>
    <w:rsid w:val="005A77D9"/>
    <w:rsid w:val="005B5ADD"/>
    <w:rsid w:val="005B69E9"/>
    <w:rsid w:val="005C47C3"/>
    <w:rsid w:val="005D4FD1"/>
    <w:rsid w:val="005D6436"/>
    <w:rsid w:val="005F41FE"/>
    <w:rsid w:val="005F7766"/>
    <w:rsid w:val="00603201"/>
    <w:rsid w:val="0060652B"/>
    <w:rsid w:val="00616C0E"/>
    <w:rsid w:val="00620009"/>
    <w:rsid w:val="00620FD9"/>
    <w:rsid w:val="006219CA"/>
    <w:rsid w:val="00621FCD"/>
    <w:rsid w:val="00636FE6"/>
    <w:rsid w:val="0064167C"/>
    <w:rsid w:val="00651104"/>
    <w:rsid w:val="00652D07"/>
    <w:rsid w:val="00656EC7"/>
    <w:rsid w:val="006830AA"/>
    <w:rsid w:val="00683DBB"/>
    <w:rsid w:val="00685181"/>
    <w:rsid w:val="006968E5"/>
    <w:rsid w:val="006A41E2"/>
    <w:rsid w:val="006A4B05"/>
    <w:rsid w:val="006B5B67"/>
    <w:rsid w:val="006C0D1D"/>
    <w:rsid w:val="006C5C3B"/>
    <w:rsid w:val="006C6445"/>
    <w:rsid w:val="006D05D8"/>
    <w:rsid w:val="006D7F5F"/>
    <w:rsid w:val="006E268C"/>
    <w:rsid w:val="006E2BC6"/>
    <w:rsid w:val="006E6E14"/>
    <w:rsid w:val="006F1357"/>
    <w:rsid w:val="006F1E13"/>
    <w:rsid w:val="006F3C12"/>
    <w:rsid w:val="006F5ACE"/>
    <w:rsid w:val="006F64DA"/>
    <w:rsid w:val="006F7388"/>
    <w:rsid w:val="007027D4"/>
    <w:rsid w:val="00714C40"/>
    <w:rsid w:val="0071685A"/>
    <w:rsid w:val="0072518C"/>
    <w:rsid w:val="00726041"/>
    <w:rsid w:val="007261C3"/>
    <w:rsid w:val="00726BFA"/>
    <w:rsid w:val="00733E67"/>
    <w:rsid w:val="00734F22"/>
    <w:rsid w:val="0074216E"/>
    <w:rsid w:val="007478DA"/>
    <w:rsid w:val="00747C96"/>
    <w:rsid w:val="00753C85"/>
    <w:rsid w:val="0075534C"/>
    <w:rsid w:val="00761619"/>
    <w:rsid w:val="00762396"/>
    <w:rsid w:val="00766BB4"/>
    <w:rsid w:val="00767C9E"/>
    <w:rsid w:val="00774B6C"/>
    <w:rsid w:val="0077621B"/>
    <w:rsid w:val="00783E68"/>
    <w:rsid w:val="0078415E"/>
    <w:rsid w:val="007850C9"/>
    <w:rsid w:val="00790F74"/>
    <w:rsid w:val="007A24F1"/>
    <w:rsid w:val="007A386C"/>
    <w:rsid w:val="007C7AAC"/>
    <w:rsid w:val="007D0D22"/>
    <w:rsid w:val="007D11F7"/>
    <w:rsid w:val="007D1DCD"/>
    <w:rsid w:val="007D3054"/>
    <w:rsid w:val="007F17A7"/>
    <w:rsid w:val="007F1A68"/>
    <w:rsid w:val="007F25CB"/>
    <w:rsid w:val="007F2F9B"/>
    <w:rsid w:val="007F5B26"/>
    <w:rsid w:val="007F6345"/>
    <w:rsid w:val="008008F2"/>
    <w:rsid w:val="0080356D"/>
    <w:rsid w:val="008037EA"/>
    <w:rsid w:val="00804283"/>
    <w:rsid w:val="0080453C"/>
    <w:rsid w:val="00807060"/>
    <w:rsid w:val="00814472"/>
    <w:rsid w:val="008171E0"/>
    <w:rsid w:val="00822FE7"/>
    <w:rsid w:val="00824438"/>
    <w:rsid w:val="008247CB"/>
    <w:rsid w:val="00830E61"/>
    <w:rsid w:val="00831111"/>
    <w:rsid w:val="00832C25"/>
    <w:rsid w:val="00836645"/>
    <w:rsid w:val="00852147"/>
    <w:rsid w:val="00856A52"/>
    <w:rsid w:val="00857C22"/>
    <w:rsid w:val="00860CF3"/>
    <w:rsid w:val="008671BE"/>
    <w:rsid w:val="00870992"/>
    <w:rsid w:val="00873821"/>
    <w:rsid w:val="0087657F"/>
    <w:rsid w:val="0088361D"/>
    <w:rsid w:val="008838AC"/>
    <w:rsid w:val="008908D4"/>
    <w:rsid w:val="00892376"/>
    <w:rsid w:val="00893A65"/>
    <w:rsid w:val="00894A2F"/>
    <w:rsid w:val="008A02D6"/>
    <w:rsid w:val="008A323A"/>
    <w:rsid w:val="008B1A84"/>
    <w:rsid w:val="008C3D9E"/>
    <w:rsid w:val="008D1226"/>
    <w:rsid w:val="008D327B"/>
    <w:rsid w:val="008D3763"/>
    <w:rsid w:val="008D7FF1"/>
    <w:rsid w:val="008E1CAB"/>
    <w:rsid w:val="008F1DB4"/>
    <w:rsid w:val="008F4E6A"/>
    <w:rsid w:val="008F5483"/>
    <w:rsid w:val="00900D70"/>
    <w:rsid w:val="009033A3"/>
    <w:rsid w:val="00905B69"/>
    <w:rsid w:val="00912E10"/>
    <w:rsid w:val="00914B22"/>
    <w:rsid w:val="00915096"/>
    <w:rsid w:val="009170CA"/>
    <w:rsid w:val="0092511A"/>
    <w:rsid w:val="00930399"/>
    <w:rsid w:val="00930AD9"/>
    <w:rsid w:val="009326C6"/>
    <w:rsid w:val="00933FC4"/>
    <w:rsid w:val="009362A9"/>
    <w:rsid w:val="00940E4A"/>
    <w:rsid w:val="00940ED7"/>
    <w:rsid w:val="009462A4"/>
    <w:rsid w:val="00947F13"/>
    <w:rsid w:val="00957881"/>
    <w:rsid w:val="009668A9"/>
    <w:rsid w:val="00967035"/>
    <w:rsid w:val="00971D40"/>
    <w:rsid w:val="009808C1"/>
    <w:rsid w:val="00983339"/>
    <w:rsid w:val="009A48FE"/>
    <w:rsid w:val="009A70FF"/>
    <w:rsid w:val="009B36A7"/>
    <w:rsid w:val="009B60B7"/>
    <w:rsid w:val="009D1179"/>
    <w:rsid w:val="009D3A7D"/>
    <w:rsid w:val="009D7228"/>
    <w:rsid w:val="009E4A88"/>
    <w:rsid w:val="009E5C5D"/>
    <w:rsid w:val="009E75AB"/>
    <w:rsid w:val="009F716C"/>
    <w:rsid w:val="00A002B3"/>
    <w:rsid w:val="00A02CE9"/>
    <w:rsid w:val="00A0708A"/>
    <w:rsid w:val="00A21690"/>
    <w:rsid w:val="00A24854"/>
    <w:rsid w:val="00A53DE8"/>
    <w:rsid w:val="00A61670"/>
    <w:rsid w:val="00A710AA"/>
    <w:rsid w:val="00A7322A"/>
    <w:rsid w:val="00A827C2"/>
    <w:rsid w:val="00A847E6"/>
    <w:rsid w:val="00A86855"/>
    <w:rsid w:val="00A91065"/>
    <w:rsid w:val="00A97818"/>
    <w:rsid w:val="00AA72E3"/>
    <w:rsid w:val="00AB0131"/>
    <w:rsid w:val="00AB4FA4"/>
    <w:rsid w:val="00AD33CE"/>
    <w:rsid w:val="00AD502C"/>
    <w:rsid w:val="00AD7CB5"/>
    <w:rsid w:val="00AE3A9D"/>
    <w:rsid w:val="00AE4B70"/>
    <w:rsid w:val="00AE5793"/>
    <w:rsid w:val="00AE5AA2"/>
    <w:rsid w:val="00AE7394"/>
    <w:rsid w:val="00AF2D41"/>
    <w:rsid w:val="00AF762C"/>
    <w:rsid w:val="00B00D91"/>
    <w:rsid w:val="00B03A44"/>
    <w:rsid w:val="00B043A6"/>
    <w:rsid w:val="00B049BF"/>
    <w:rsid w:val="00B07595"/>
    <w:rsid w:val="00B103F8"/>
    <w:rsid w:val="00B22BCD"/>
    <w:rsid w:val="00B2365F"/>
    <w:rsid w:val="00B326A2"/>
    <w:rsid w:val="00B34721"/>
    <w:rsid w:val="00B44F9C"/>
    <w:rsid w:val="00B46E02"/>
    <w:rsid w:val="00B54804"/>
    <w:rsid w:val="00B5488D"/>
    <w:rsid w:val="00B54958"/>
    <w:rsid w:val="00B62194"/>
    <w:rsid w:val="00B62BE3"/>
    <w:rsid w:val="00B6561F"/>
    <w:rsid w:val="00B65668"/>
    <w:rsid w:val="00B65A86"/>
    <w:rsid w:val="00B66128"/>
    <w:rsid w:val="00B67D57"/>
    <w:rsid w:val="00B71583"/>
    <w:rsid w:val="00B72B08"/>
    <w:rsid w:val="00B75806"/>
    <w:rsid w:val="00B80600"/>
    <w:rsid w:val="00B83642"/>
    <w:rsid w:val="00B8569E"/>
    <w:rsid w:val="00B86258"/>
    <w:rsid w:val="00BA6E76"/>
    <w:rsid w:val="00BB1A90"/>
    <w:rsid w:val="00BB3C0E"/>
    <w:rsid w:val="00BC294D"/>
    <w:rsid w:val="00BC3884"/>
    <w:rsid w:val="00BC54D3"/>
    <w:rsid w:val="00BC55CF"/>
    <w:rsid w:val="00BD1724"/>
    <w:rsid w:val="00BD5A8A"/>
    <w:rsid w:val="00BE0854"/>
    <w:rsid w:val="00BE662A"/>
    <w:rsid w:val="00BF0850"/>
    <w:rsid w:val="00BF5EDA"/>
    <w:rsid w:val="00C12AA5"/>
    <w:rsid w:val="00C150E0"/>
    <w:rsid w:val="00C20A50"/>
    <w:rsid w:val="00C21D44"/>
    <w:rsid w:val="00C267A3"/>
    <w:rsid w:val="00C338CD"/>
    <w:rsid w:val="00C40797"/>
    <w:rsid w:val="00C43B9B"/>
    <w:rsid w:val="00C45A19"/>
    <w:rsid w:val="00C51C64"/>
    <w:rsid w:val="00C56E81"/>
    <w:rsid w:val="00C62604"/>
    <w:rsid w:val="00C629AE"/>
    <w:rsid w:val="00C62D0E"/>
    <w:rsid w:val="00C66DD5"/>
    <w:rsid w:val="00C70F84"/>
    <w:rsid w:val="00C71B80"/>
    <w:rsid w:val="00C8307A"/>
    <w:rsid w:val="00C86961"/>
    <w:rsid w:val="00CA1521"/>
    <w:rsid w:val="00CA1861"/>
    <w:rsid w:val="00CA4A64"/>
    <w:rsid w:val="00CB0B3D"/>
    <w:rsid w:val="00CB42D0"/>
    <w:rsid w:val="00CB565B"/>
    <w:rsid w:val="00CC3B2E"/>
    <w:rsid w:val="00CD3D87"/>
    <w:rsid w:val="00CE5B3C"/>
    <w:rsid w:val="00CE6AF8"/>
    <w:rsid w:val="00CF524F"/>
    <w:rsid w:val="00CF700F"/>
    <w:rsid w:val="00CF73D2"/>
    <w:rsid w:val="00CF742E"/>
    <w:rsid w:val="00D0691F"/>
    <w:rsid w:val="00D07095"/>
    <w:rsid w:val="00D138C8"/>
    <w:rsid w:val="00D138D3"/>
    <w:rsid w:val="00D21661"/>
    <w:rsid w:val="00D23A6D"/>
    <w:rsid w:val="00D23CC7"/>
    <w:rsid w:val="00D24F61"/>
    <w:rsid w:val="00D2663D"/>
    <w:rsid w:val="00D27059"/>
    <w:rsid w:val="00D34348"/>
    <w:rsid w:val="00D36DBA"/>
    <w:rsid w:val="00D378BC"/>
    <w:rsid w:val="00D61B53"/>
    <w:rsid w:val="00D6590A"/>
    <w:rsid w:val="00D70BC5"/>
    <w:rsid w:val="00D763B7"/>
    <w:rsid w:val="00D821C7"/>
    <w:rsid w:val="00D8312A"/>
    <w:rsid w:val="00D90245"/>
    <w:rsid w:val="00D92717"/>
    <w:rsid w:val="00D95A83"/>
    <w:rsid w:val="00D96527"/>
    <w:rsid w:val="00DA44BA"/>
    <w:rsid w:val="00DA70A3"/>
    <w:rsid w:val="00DC3C8A"/>
    <w:rsid w:val="00DD025D"/>
    <w:rsid w:val="00DD1128"/>
    <w:rsid w:val="00DD3108"/>
    <w:rsid w:val="00DE6181"/>
    <w:rsid w:val="00DF1E54"/>
    <w:rsid w:val="00DF49E1"/>
    <w:rsid w:val="00DF68E6"/>
    <w:rsid w:val="00DF77FD"/>
    <w:rsid w:val="00E03999"/>
    <w:rsid w:val="00E056B5"/>
    <w:rsid w:val="00E20371"/>
    <w:rsid w:val="00E23C83"/>
    <w:rsid w:val="00E304F0"/>
    <w:rsid w:val="00E3390F"/>
    <w:rsid w:val="00E43934"/>
    <w:rsid w:val="00E45665"/>
    <w:rsid w:val="00E457CC"/>
    <w:rsid w:val="00E512F1"/>
    <w:rsid w:val="00E55D50"/>
    <w:rsid w:val="00E62FBE"/>
    <w:rsid w:val="00E76930"/>
    <w:rsid w:val="00E80570"/>
    <w:rsid w:val="00E87D4E"/>
    <w:rsid w:val="00E9229D"/>
    <w:rsid w:val="00E9573D"/>
    <w:rsid w:val="00E9783C"/>
    <w:rsid w:val="00EA1A2F"/>
    <w:rsid w:val="00EA2959"/>
    <w:rsid w:val="00EA323F"/>
    <w:rsid w:val="00EA7986"/>
    <w:rsid w:val="00EB15FB"/>
    <w:rsid w:val="00EB4DBF"/>
    <w:rsid w:val="00ED111D"/>
    <w:rsid w:val="00ED3594"/>
    <w:rsid w:val="00ED3E23"/>
    <w:rsid w:val="00EE5052"/>
    <w:rsid w:val="00EF578F"/>
    <w:rsid w:val="00F01869"/>
    <w:rsid w:val="00F20874"/>
    <w:rsid w:val="00F272A3"/>
    <w:rsid w:val="00F30684"/>
    <w:rsid w:val="00F309C5"/>
    <w:rsid w:val="00F3358C"/>
    <w:rsid w:val="00F42C44"/>
    <w:rsid w:val="00F46BD5"/>
    <w:rsid w:val="00F4723E"/>
    <w:rsid w:val="00F47EA7"/>
    <w:rsid w:val="00F56532"/>
    <w:rsid w:val="00F5753A"/>
    <w:rsid w:val="00F611C1"/>
    <w:rsid w:val="00F72229"/>
    <w:rsid w:val="00F74718"/>
    <w:rsid w:val="00F7790E"/>
    <w:rsid w:val="00F84738"/>
    <w:rsid w:val="00F85D89"/>
    <w:rsid w:val="00FA20C5"/>
    <w:rsid w:val="00FA3952"/>
    <w:rsid w:val="00FA5A5C"/>
    <w:rsid w:val="00FC043E"/>
    <w:rsid w:val="00FC1EE3"/>
    <w:rsid w:val="00FC3F33"/>
    <w:rsid w:val="00FD3E3C"/>
    <w:rsid w:val="00FF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AA14A59"/>
  <w15:docId w15:val="{C813A8A0-E19E-488F-A944-549927D6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657F"/>
    <w:rPr>
      <w:sz w:val="16"/>
      <w:szCs w:val="16"/>
    </w:rPr>
  </w:style>
  <w:style w:type="paragraph" w:styleId="CommentText">
    <w:name w:val="annotation text"/>
    <w:basedOn w:val="Normal"/>
    <w:link w:val="CommentTextChar"/>
    <w:uiPriority w:val="99"/>
    <w:unhideWhenUsed/>
    <w:rsid w:val="0087657F"/>
    <w:rPr>
      <w:sz w:val="20"/>
      <w:szCs w:val="20"/>
    </w:rPr>
  </w:style>
  <w:style w:type="character" w:customStyle="1" w:styleId="CommentTextChar">
    <w:name w:val="Comment Text Char"/>
    <w:basedOn w:val="DefaultParagraphFont"/>
    <w:link w:val="CommentText"/>
    <w:uiPriority w:val="99"/>
    <w:rsid w:val="0087657F"/>
    <w:rPr>
      <w:rFonts w:ascii="Times New Roman" w:hAnsi="Times New Roman" w:cs="Times New Roman"/>
      <w:sz w:val="20"/>
      <w:szCs w:val="20"/>
      <w:lang w:val="en-GB"/>
    </w:rPr>
  </w:style>
  <w:style w:type="paragraph" w:styleId="ListParagraph">
    <w:name w:val="List Paragraph"/>
    <w:basedOn w:val="Normal"/>
    <w:uiPriority w:val="34"/>
    <w:qFormat/>
    <w:rsid w:val="0087657F"/>
    <w:pPr>
      <w:ind w:left="720"/>
      <w:contextualSpacing/>
    </w:pPr>
  </w:style>
  <w:style w:type="table" w:styleId="TableGrid">
    <w:name w:val="Table Grid"/>
    <w:basedOn w:val="TableNormal"/>
    <w:uiPriority w:val="59"/>
    <w:rsid w:val="0087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657F"/>
    <w:pPr>
      <w:spacing w:before="0" w:after="200"/>
    </w:pPr>
    <w:rPr>
      <w:i/>
      <w:iCs/>
      <w:color w:val="1F497D" w:themeColor="text2"/>
      <w:sz w:val="18"/>
      <w:szCs w:val="18"/>
    </w:rPr>
  </w:style>
  <w:style w:type="character" w:customStyle="1" w:styleId="Mention1">
    <w:name w:val="Mention1"/>
    <w:basedOn w:val="DefaultParagraphFont"/>
    <w:uiPriority w:val="99"/>
    <w:unhideWhenUsed/>
    <w:rsid w:val="0087657F"/>
    <w:rPr>
      <w:color w:val="2B579A"/>
      <w:shd w:val="clear" w:color="auto" w:fill="E6E6E6"/>
    </w:rPr>
  </w:style>
  <w:style w:type="table" w:styleId="TableGridLight">
    <w:name w:val="Grid Table Light"/>
    <w:basedOn w:val="TableNormal"/>
    <w:uiPriority w:val="40"/>
    <w:rsid w:val="008765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7657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57F"/>
    <w:rPr>
      <w:rFonts w:ascii="Segoe UI" w:hAnsi="Segoe UI" w:cs="Segoe UI"/>
      <w:sz w:val="18"/>
      <w:szCs w:val="18"/>
      <w:lang w:val="en-GB"/>
    </w:rPr>
  </w:style>
  <w:style w:type="paragraph" w:styleId="TableofFigures">
    <w:name w:val="table of figures"/>
    <w:basedOn w:val="Normal"/>
    <w:next w:val="Normal"/>
    <w:uiPriority w:val="99"/>
    <w:semiHidden/>
    <w:unhideWhenUsed/>
    <w:rsid w:val="00244A46"/>
    <w:pPr>
      <w:spacing w:after="0"/>
    </w:pPr>
  </w:style>
  <w:style w:type="paragraph" w:styleId="ListBullet">
    <w:name w:val="List Bullet"/>
    <w:basedOn w:val="Normal"/>
    <w:uiPriority w:val="99"/>
    <w:semiHidden/>
    <w:unhideWhenUsed/>
    <w:rsid w:val="00244A46"/>
    <w:pPr>
      <w:numPr>
        <w:numId w:val="1"/>
      </w:numPr>
      <w:contextualSpacing/>
    </w:pPr>
  </w:style>
  <w:style w:type="paragraph" w:styleId="ListBullet2">
    <w:name w:val="List Bullet 2"/>
    <w:basedOn w:val="Normal"/>
    <w:uiPriority w:val="99"/>
    <w:semiHidden/>
    <w:unhideWhenUsed/>
    <w:rsid w:val="00244A46"/>
    <w:pPr>
      <w:numPr>
        <w:numId w:val="2"/>
      </w:numPr>
      <w:contextualSpacing/>
    </w:pPr>
  </w:style>
  <w:style w:type="paragraph" w:styleId="ListBullet3">
    <w:name w:val="List Bullet 3"/>
    <w:basedOn w:val="Normal"/>
    <w:uiPriority w:val="99"/>
    <w:semiHidden/>
    <w:unhideWhenUsed/>
    <w:rsid w:val="00244A46"/>
    <w:pPr>
      <w:numPr>
        <w:numId w:val="3"/>
      </w:numPr>
      <w:contextualSpacing/>
    </w:pPr>
  </w:style>
  <w:style w:type="paragraph" w:styleId="ListBullet4">
    <w:name w:val="List Bullet 4"/>
    <w:basedOn w:val="Normal"/>
    <w:uiPriority w:val="99"/>
    <w:semiHidden/>
    <w:unhideWhenUsed/>
    <w:rsid w:val="00244A46"/>
    <w:pPr>
      <w:numPr>
        <w:numId w:val="4"/>
      </w:numPr>
      <w:contextualSpacing/>
    </w:pPr>
  </w:style>
  <w:style w:type="paragraph" w:styleId="ListNumber">
    <w:name w:val="List Number"/>
    <w:basedOn w:val="Normal"/>
    <w:uiPriority w:val="99"/>
    <w:semiHidden/>
    <w:unhideWhenUsed/>
    <w:rsid w:val="00244A46"/>
    <w:pPr>
      <w:numPr>
        <w:numId w:val="5"/>
      </w:numPr>
      <w:contextualSpacing/>
    </w:pPr>
  </w:style>
  <w:style w:type="paragraph" w:styleId="ListNumber2">
    <w:name w:val="List Number 2"/>
    <w:basedOn w:val="Normal"/>
    <w:uiPriority w:val="99"/>
    <w:semiHidden/>
    <w:unhideWhenUsed/>
    <w:rsid w:val="00244A46"/>
    <w:pPr>
      <w:numPr>
        <w:numId w:val="6"/>
      </w:numPr>
      <w:contextualSpacing/>
    </w:pPr>
  </w:style>
  <w:style w:type="paragraph" w:styleId="ListNumber3">
    <w:name w:val="List Number 3"/>
    <w:basedOn w:val="Normal"/>
    <w:uiPriority w:val="99"/>
    <w:semiHidden/>
    <w:unhideWhenUsed/>
    <w:rsid w:val="00244A46"/>
    <w:pPr>
      <w:numPr>
        <w:numId w:val="7"/>
      </w:numPr>
      <w:contextualSpacing/>
    </w:pPr>
  </w:style>
  <w:style w:type="paragraph" w:styleId="ListNumber4">
    <w:name w:val="List Number 4"/>
    <w:basedOn w:val="Normal"/>
    <w:uiPriority w:val="99"/>
    <w:semiHidden/>
    <w:unhideWhenUsed/>
    <w:rsid w:val="00244A46"/>
    <w:pPr>
      <w:numPr>
        <w:numId w:val="8"/>
      </w:numPr>
      <w:contextualSpacing/>
    </w:pPr>
  </w:style>
  <w:style w:type="paragraph" w:styleId="Revision">
    <w:name w:val="Revision"/>
    <w:hidden/>
    <w:uiPriority w:val="99"/>
    <w:semiHidden/>
    <w:rsid w:val="00C8307A"/>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AD502C"/>
    <w:rPr>
      <w:b/>
      <w:bCs/>
    </w:rPr>
  </w:style>
  <w:style w:type="character" w:customStyle="1" w:styleId="CommentSubjectChar">
    <w:name w:val="Comment Subject Char"/>
    <w:basedOn w:val="CommentTextChar"/>
    <w:link w:val="CommentSubject"/>
    <w:uiPriority w:val="99"/>
    <w:semiHidden/>
    <w:rsid w:val="00AD502C"/>
    <w:rPr>
      <w:rFonts w:ascii="Times New Roman" w:hAnsi="Times New Roman" w:cs="Times New Roman"/>
      <w:b/>
      <w:bCs/>
      <w:sz w:val="20"/>
      <w:szCs w:val="20"/>
      <w:lang w:val="en-GB"/>
    </w:rPr>
  </w:style>
  <w:style w:type="character" w:styleId="Hyperlink">
    <w:name w:val="Hyperlink"/>
    <w:basedOn w:val="DefaultParagraphFont"/>
    <w:uiPriority w:val="99"/>
    <w:unhideWhenUsed/>
    <w:rsid w:val="00AD502C"/>
    <w:rPr>
      <w:color w:val="0000FF" w:themeColor="hyperlink"/>
      <w:u w:val="single"/>
    </w:rPr>
  </w:style>
  <w:style w:type="table" w:styleId="GridTable1Light">
    <w:name w:val="Grid Table 1 Light"/>
    <w:basedOn w:val="TableNormal"/>
    <w:uiPriority w:val="46"/>
    <w:rsid w:val="00AD5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AD50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D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41E24"/>
    <w:rPr>
      <w:color w:val="800080" w:themeColor="followedHyperlink"/>
      <w:u w:val="single"/>
    </w:rPr>
  </w:style>
  <w:style w:type="paragraph" w:styleId="Header">
    <w:name w:val="header"/>
    <w:basedOn w:val="Normal"/>
    <w:link w:val="HeaderChar"/>
    <w:uiPriority w:val="99"/>
    <w:unhideWhenUsed/>
    <w:rsid w:val="00783E68"/>
    <w:pPr>
      <w:tabs>
        <w:tab w:val="center" w:pos="4535"/>
        <w:tab w:val="right" w:pos="9071"/>
      </w:tabs>
      <w:spacing w:before="0"/>
    </w:pPr>
  </w:style>
  <w:style w:type="character" w:customStyle="1" w:styleId="HeaderChar">
    <w:name w:val="Header Char"/>
    <w:basedOn w:val="DefaultParagraphFont"/>
    <w:link w:val="Header"/>
    <w:uiPriority w:val="99"/>
    <w:rsid w:val="00783E68"/>
    <w:rPr>
      <w:rFonts w:ascii="Times New Roman" w:hAnsi="Times New Roman" w:cs="Times New Roman"/>
      <w:sz w:val="24"/>
      <w:lang w:val="en-GB"/>
    </w:rPr>
  </w:style>
  <w:style w:type="paragraph" w:styleId="Footer">
    <w:name w:val="footer"/>
    <w:basedOn w:val="Normal"/>
    <w:link w:val="FooterChar"/>
    <w:uiPriority w:val="99"/>
    <w:unhideWhenUsed/>
    <w:rsid w:val="00783E6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83E6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83E68"/>
    <w:pPr>
      <w:tabs>
        <w:tab w:val="center" w:pos="7285"/>
        <w:tab w:val="right" w:pos="14003"/>
      </w:tabs>
      <w:spacing w:before="0"/>
    </w:pPr>
  </w:style>
  <w:style w:type="paragraph" w:customStyle="1" w:styleId="FooterLandscape">
    <w:name w:val="FooterLandscape"/>
    <w:basedOn w:val="Normal"/>
    <w:rsid w:val="00783E6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83E6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83E68"/>
    <w:pPr>
      <w:spacing w:before="0"/>
      <w:jc w:val="right"/>
    </w:pPr>
    <w:rPr>
      <w:sz w:val="28"/>
    </w:rPr>
  </w:style>
  <w:style w:type="paragraph" w:customStyle="1" w:styleId="FooterSensitivity">
    <w:name w:val="Footer Sensitivity"/>
    <w:basedOn w:val="Normal"/>
    <w:rsid w:val="00783E6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80356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5991">
      <w:bodyDiv w:val="1"/>
      <w:marLeft w:val="0"/>
      <w:marRight w:val="0"/>
      <w:marTop w:val="0"/>
      <w:marBottom w:val="0"/>
      <w:divBdr>
        <w:top w:val="none" w:sz="0" w:space="0" w:color="auto"/>
        <w:left w:val="none" w:sz="0" w:space="0" w:color="auto"/>
        <w:bottom w:val="none" w:sz="0" w:space="0" w:color="auto"/>
        <w:right w:val="none" w:sz="0" w:space="0" w:color="auto"/>
      </w:divBdr>
    </w:div>
    <w:div w:id="905648982">
      <w:bodyDiv w:val="1"/>
      <w:marLeft w:val="0"/>
      <w:marRight w:val="0"/>
      <w:marTop w:val="0"/>
      <w:marBottom w:val="0"/>
      <w:divBdr>
        <w:top w:val="none" w:sz="0" w:space="0" w:color="auto"/>
        <w:left w:val="none" w:sz="0" w:space="0" w:color="auto"/>
        <w:bottom w:val="none" w:sz="0" w:space="0" w:color="auto"/>
        <w:right w:val="none" w:sz="0" w:space="0" w:color="auto"/>
      </w:divBdr>
    </w:div>
    <w:div w:id="1318260885">
      <w:bodyDiv w:val="1"/>
      <w:marLeft w:val="0"/>
      <w:marRight w:val="0"/>
      <w:marTop w:val="0"/>
      <w:marBottom w:val="0"/>
      <w:divBdr>
        <w:top w:val="none" w:sz="0" w:space="0" w:color="auto"/>
        <w:left w:val="none" w:sz="0" w:space="0" w:color="auto"/>
        <w:bottom w:val="none" w:sz="0" w:space="0" w:color="auto"/>
        <w:right w:val="none" w:sz="0" w:space="0" w:color="auto"/>
      </w:divBdr>
    </w:div>
    <w:div w:id="20977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mif-isf.b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uropeinbelgiu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L:2019:135:TOC" TargetMode="External"/><Relationship Id="rId1" Type="http://schemas.openxmlformats.org/officeDocument/2006/relationships/hyperlink" Target="https://eur-lex.europa.eu/legal-content/EN/AUTO/?uri=OJ:L:2019:13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7" ma:contentTypeDescription="Crée un document." ma:contentTypeScope="" ma:versionID="dc2f4626d67137780b08c2a7e9b000cb">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23a8bc546a816adb1c7177093903c4b"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130C-A2DA-48C9-9464-810060B69084}">
  <ds:schemaRefs>
    <ds:schemaRef ds:uri="http://schemas.microsoft.com/sharepoint/v3/contenttype/forms"/>
  </ds:schemaRefs>
</ds:datastoreItem>
</file>

<file path=customXml/itemProps2.xml><?xml version="1.0" encoding="utf-8"?>
<ds:datastoreItem xmlns:ds="http://schemas.openxmlformats.org/officeDocument/2006/customXml" ds:itemID="{75356D46-FC06-4E2C-B7DB-6E99CB91049A}">
  <ds:schemaRefs>
    <ds:schemaRef ds:uri="http://purl.org/dc/dcmitype/"/>
    <ds:schemaRef ds:uri="http://purl.org/dc/terms/"/>
    <ds:schemaRef ds:uri="http://purl.org/dc/elements/1.1/"/>
    <ds:schemaRef ds:uri="ac131f03-315b-4cd8-8e3a-6189969fd4f0"/>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843c966-cb45-4885-93fc-2ce78a94204b"/>
    <ds:schemaRef ds:uri="http://schemas.microsoft.com/office/2006/metadata/properties"/>
  </ds:schemaRefs>
</ds:datastoreItem>
</file>

<file path=customXml/itemProps3.xml><?xml version="1.0" encoding="utf-8"?>
<ds:datastoreItem xmlns:ds="http://schemas.openxmlformats.org/officeDocument/2006/customXml" ds:itemID="{24F46FEB-191F-4390-B79A-1CCCD66FB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09DB4-401F-49EA-8C05-F400FA9D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898</TotalTime>
  <Pages>12</Pages>
  <Words>4373</Words>
  <Characters>24052</Characters>
  <Application>Microsoft Office Word</Application>
  <DocSecurity>0</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Ghelen Yannick</cp:lastModifiedBy>
  <cp:revision>69</cp:revision>
  <cp:lastPrinted>2022-11-21T13:10:00Z</cp:lastPrinted>
  <dcterms:created xsi:type="dcterms:W3CDTF">2023-01-04T13:01:00Z</dcterms:created>
  <dcterms:modified xsi:type="dcterms:W3CDTF">2024-01-29T10:05:00Z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0x010100199782AF6692CB4E8097BF428225D135</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2022-08-23T10:50:18Z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d0a220a1-afb2-4b93-b3b6-3b67db7df70a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