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D3667" w14:textId="020889A5" w:rsidR="00555224" w:rsidRPr="00C95F33" w:rsidRDefault="00C95F33" w:rsidP="007720C2">
      <w:pPr>
        <w:pStyle w:val="Pagedecouverture"/>
        <w:rPr>
          <w:noProof/>
        </w:rPr>
      </w:pPr>
      <w:r w:rsidRPr="00C95F33">
        <w:rPr>
          <w:noProof/>
        </w:rPr>
        <w:pict w14:anchorId="74ECF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015795B-E1C9-4900-BA63-C0D8775EE751" style="width:455.4pt;height:401.4pt">
            <v:imagedata r:id="rId11" o:title=""/>
          </v:shape>
        </w:pict>
      </w:r>
    </w:p>
    <w:p w14:paraId="397CE456" w14:textId="77777777" w:rsidR="00FD144E" w:rsidRPr="00C95F33" w:rsidRDefault="00FD144E" w:rsidP="00FD144E">
      <w:pPr>
        <w:pStyle w:val="Pagedecouverture"/>
        <w:rPr>
          <w:noProof/>
        </w:rPr>
        <w:sectPr w:rsidR="00FD144E" w:rsidRPr="00C95F33" w:rsidSect="007720C2">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075085B2" w14:textId="15D99613" w:rsidR="00555224" w:rsidRPr="00C95F33" w:rsidRDefault="002D571C" w:rsidP="00151819">
      <w:pPr>
        <w:pStyle w:val="Annexetitre"/>
        <w:rPr>
          <w:noProof/>
        </w:rPr>
      </w:pPr>
      <w:r w:rsidRPr="00C95F33">
        <w:rPr>
          <w:noProof/>
        </w:rPr>
        <w:lastRenderedPageBreak/>
        <w:t>ANNEX</w:t>
      </w:r>
      <w:r w:rsidR="00927926" w:rsidRPr="00C95F33">
        <w:rPr>
          <w:noProof/>
        </w:rPr>
        <w:br/>
      </w:r>
      <w:r w:rsidR="00AD502C" w:rsidRPr="00C95F33">
        <w:rPr>
          <w:noProof/>
        </w:rPr>
        <w:t>Template for the Annual Performance Report</w:t>
      </w:r>
      <w:r w:rsidR="00EE66B3" w:rsidRPr="00C95F33">
        <w:rPr>
          <w:noProof/>
        </w:rPr>
        <w:t>s</w:t>
      </w:r>
      <w:r w:rsidR="00AD502C" w:rsidRPr="00C95F33">
        <w:rPr>
          <w:noProof/>
        </w:rPr>
        <w:t xml:space="preserve"> by the Member States to the Commission</w:t>
      </w:r>
      <w:r w:rsidR="00104E34" w:rsidRPr="00C95F33">
        <w:rPr>
          <w:noProof/>
        </w:rPr>
        <w:t xml:space="preserve"> on</w:t>
      </w:r>
      <w:r w:rsidR="00AD502C" w:rsidRPr="00C95F33">
        <w:rPr>
          <w:noProof/>
        </w:rPr>
        <w:t xml:space="preserve"> the Instrument for Financial Support for Border Management and Visa Policy, as referred to in Article 29 of Regulation (EU) 2021/1148</w:t>
      </w:r>
    </w:p>
    <w:p w14:paraId="3725B7F6" w14:textId="77777777" w:rsidR="00AD502C" w:rsidRPr="00C95F33" w:rsidRDefault="00AD502C" w:rsidP="00AD502C">
      <w:pPr>
        <w:pStyle w:val="ManualHeading1"/>
        <w:rPr>
          <w:noProof/>
        </w:rPr>
      </w:pPr>
      <w:r w:rsidRPr="00C95F33">
        <w:rPr>
          <w:noProof/>
        </w:rPr>
        <w:t>IDENTIFICATION</w:t>
      </w:r>
    </w:p>
    <w:tbl>
      <w:tblPr>
        <w:tblStyle w:val="Grilledetableauclaire"/>
        <w:tblW w:w="0" w:type="auto"/>
        <w:tblLook w:val="04A0" w:firstRow="1" w:lastRow="0" w:firstColumn="1" w:lastColumn="0" w:noHBand="0" w:noVBand="1"/>
      </w:tblPr>
      <w:tblGrid>
        <w:gridCol w:w="4637"/>
        <w:gridCol w:w="4638"/>
      </w:tblGrid>
      <w:tr w:rsidR="00C95F33" w:rsidRPr="00C95F33" w14:paraId="391A53C1" w14:textId="77777777" w:rsidTr="00AD502C">
        <w:trPr>
          <w:trHeight w:val="285"/>
        </w:trPr>
        <w:tc>
          <w:tcPr>
            <w:tcW w:w="4637" w:type="dxa"/>
          </w:tcPr>
          <w:p w14:paraId="3D0F17FB" w14:textId="77777777" w:rsidR="00AD502C" w:rsidRPr="00C95F33" w:rsidRDefault="00AD502C" w:rsidP="00AD502C">
            <w:pPr>
              <w:pStyle w:val="Personnequisigne"/>
              <w:rPr>
                <w:noProof/>
              </w:rPr>
            </w:pPr>
            <w:r w:rsidRPr="00C95F33">
              <w:rPr>
                <w:noProof/>
              </w:rPr>
              <w:t>CCI</w:t>
            </w:r>
          </w:p>
        </w:tc>
        <w:tc>
          <w:tcPr>
            <w:tcW w:w="4638" w:type="dxa"/>
          </w:tcPr>
          <w:p w14:paraId="0717DA32" w14:textId="29A4C114" w:rsidR="00AD502C" w:rsidRPr="00C95F33" w:rsidRDefault="00034CA7" w:rsidP="00AD502C">
            <w:pPr>
              <w:pStyle w:val="Personnequisigne"/>
              <w:rPr>
                <w:noProof/>
              </w:rPr>
            </w:pPr>
            <w:r w:rsidRPr="00C95F33">
              <w:rPr>
                <w:noProof/>
              </w:rPr>
              <w:t>2021BE65BVPR001</w:t>
            </w:r>
          </w:p>
        </w:tc>
      </w:tr>
      <w:tr w:rsidR="00C95F33" w:rsidRPr="00C95F33" w14:paraId="2682E2D2" w14:textId="77777777" w:rsidTr="00AD502C">
        <w:trPr>
          <w:trHeight w:val="277"/>
        </w:trPr>
        <w:tc>
          <w:tcPr>
            <w:tcW w:w="4637" w:type="dxa"/>
          </w:tcPr>
          <w:p w14:paraId="420BF7AB" w14:textId="77777777" w:rsidR="00034CA7" w:rsidRPr="00C95F33" w:rsidRDefault="00034CA7" w:rsidP="00034CA7">
            <w:pPr>
              <w:pStyle w:val="Personnequisigne"/>
              <w:rPr>
                <w:noProof/>
              </w:rPr>
            </w:pPr>
            <w:r w:rsidRPr="00C95F33">
              <w:rPr>
                <w:noProof/>
              </w:rPr>
              <w:t>Title</w:t>
            </w:r>
          </w:p>
        </w:tc>
        <w:tc>
          <w:tcPr>
            <w:tcW w:w="4638" w:type="dxa"/>
          </w:tcPr>
          <w:p w14:paraId="60292BD1" w14:textId="0F5A05CD" w:rsidR="00034CA7" w:rsidRPr="00C95F33" w:rsidRDefault="00034CA7" w:rsidP="00034CA7">
            <w:pPr>
              <w:pStyle w:val="Personnequisigne"/>
              <w:rPr>
                <w:noProof/>
              </w:rPr>
            </w:pPr>
            <w:r w:rsidRPr="00C95F33">
              <w:rPr>
                <w:noProof/>
              </w:rPr>
              <w:t>National Programme Belgium - BMVI</w:t>
            </w:r>
          </w:p>
        </w:tc>
      </w:tr>
      <w:tr w:rsidR="00C95F33" w:rsidRPr="00C95F33" w14:paraId="3760E284" w14:textId="77777777" w:rsidTr="00AD502C">
        <w:trPr>
          <w:trHeight w:val="258"/>
        </w:trPr>
        <w:tc>
          <w:tcPr>
            <w:tcW w:w="4637" w:type="dxa"/>
          </w:tcPr>
          <w:p w14:paraId="0644495D" w14:textId="77777777" w:rsidR="00034CA7" w:rsidRPr="00C95F33" w:rsidRDefault="00034CA7" w:rsidP="00034CA7">
            <w:pPr>
              <w:pStyle w:val="Personnequisigne"/>
              <w:rPr>
                <w:noProof/>
              </w:rPr>
            </w:pPr>
            <w:r w:rsidRPr="00C95F33">
              <w:rPr>
                <w:noProof/>
              </w:rPr>
              <w:t>Version</w:t>
            </w:r>
          </w:p>
        </w:tc>
        <w:tc>
          <w:tcPr>
            <w:tcW w:w="4638" w:type="dxa"/>
          </w:tcPr>
          <w:p w14:paraId="04BF3BAC" w14:textId="1FBC2D6B" w:rsidR="00034CA7" w:rsidRPr="00C95F33" w:rsidRDefault="00034CA7" w:rsidP="00034CA7">
            <w:pPr>
              <w:pStyle w:val="Personnequisigne"/>
              <w:rPr>
                <w:noProof/>
              </w:rPr>
            </w:pPr>
            <w:r w:rsidRPr="00C95F33">
              <w:rPr>
                <w:noProof/>
              </w:rPr>
              <w:t>1.2</w:t>
            </w:r>
          </w:p>
        </w:tc>
      </w:tr>
      <w:tr w:rsidR="00C95F33" w:rsidRPr="00C95F33" w14:paraId="103106F8" w14:textId="77777777" w:rsidTr="00AD502C">
        <w:trPr>
          <w:trHeight w:val="269"/>
        </w:trPr>
        <w:tc>
          <w:tcPr>
            <w:tcW w:w="4637" w:type="dxa"/>
          </w:tcPr>
          <w:p w14:paraId="1ADEC22A" w14:textId="77777777" w:rsidR="00034CA7" w:rsidRPr="00C95F33" w:rsidRDefault="00034CA7" w:rsidP="00034CA7">
            <w:pPr>
              <w:pStyle w:val="Personnequisigne"/>
              <w:rPr>
                <w:noProof/>
              </w:rPr>
            </w:pPr>
            <w:r w:rsidRPr="00C95F33">
              <w:rPr>
                <w:noProof/>
              </w:rPr>
              <w:t>Accounting year</w:t>
            </w:r>
          </w:p>
        </w:tc>
        <w:tc>
          <w:tcPr>
            <w:tcW w:w="4638" w:type="dxa"/>
          </w:tcPr>
          <w:p w14:paraId="6ECB816C" w14:textId="17BAC550" w:rsidR="00034CA7" w:rsidRPr="00C95F33" w:rsidRDefault="00034CA7" w:rsidP="00034CA7">
            <w:pPr>
              <w:pStyle w:val="Personnequisigne"/>
              <w:rPr>
                <w:noProof/>
              </w:rPr>
            </w:pPr>
            <w:r w:rsidRPr="00C95F33">
              <w:rPr>
                <w:noProof/>
              </w:rPr>
              <w:t>01/07/2022 – 30/06/2023</w:t>
            </w:r>
          </w:p>
        </w:tc>
      </w:tr>
      <w:tr w:rsidR="00C95F33" w:rsidRPr="00C95F33" w14:paraId="64F3EEC4" w14:textId="77777777" w:rsidTr="00AD502C">
        <w:trPr>
          <w:trHeight w:val="116"/>
        </w:trPr>
        <w:tc>
          <w:tcPr>
            <w:tcW w:w="4637" w:type="dxa"/>
          </w:tcPr>
          <w:p w14:paraId="43E51FF3" w14:textId="77777777" w:rsidR="00034CA7" w:rsidRPr="00C95F33" w:rsidRDefault="00034CA7" w:rsidP="00034CA7">
            <w:pPr>
              <w:pStyle w:val="Personnequisigne"/>
              <w:rPr>
                <w:noProof/>
              </w:rPr>
            </w:pPr>
            <w:r w:rsidRPr="00C95F33">
              <w:rPr>
                <w:noProof/>
              </w:rPr>
              <w:t>Date of approval of the report by the monitoring committee</w:t>
            </w:r>
          </w:p>
        </w:tc>
        <w:tc>
          <w:tcPr>
            <w:tcW w:w="4638" w:type="dxa"/>
          </w:tcPr>
          <w:p w14:paraId="48078E89" w14:textId="1399C442" w:rsidR="00034CA7" w:rsidRPr="00C95F33" w:rsidRDefault="00034CA7" w:rsidP="00034CA7">
            <w:pPr>
              <w:pStyle w:val="Personnequisigne"/>
              <w:rPr>
                <w:noProof/>
              </w:rPr>
            </w:pPr>
            <w:r w:rsidRPr="00C95F33">
              <w:rPr>
                <w:noProof/>
              </w:rPr>
              <w:t>06/02/2023</w:t>
            </w:r>
          </w:p>
        </w:tc>
      </w:tr>
    </w:tbl>
    <w:p w14:paraId="7D1BBC9A" w14:textId="1B97220C" w:rsidR="00AD502C" w:rsidRPr="00C95F33" w:rsidRDefault="00457D1B" w:rsidP="00457D1B">
      <w:pPr>
        <w:pStyle w:val="ManualHeading1"/>
        <w:rPr>
          <w:noProof/>
        </w:rPr>
      </w:pPr>
      <w:r w:rsidRPr="00C95F33">
        <w:t>1.</w:t>
      </w:r>
      <w:r w:rsidRPr="00C95F33">
        <w:tab/>
      </w:r>
      <w:r w:rsidR="00AD502C" w:rsidRPr="00C95F33">
        <w:rPr>
          <w:noProof/>
        </w:rPr>
        <w:t>Performance</w:t>
      </w:r>
    </w:p>
    <w:p w14:paraId="2C1F5343" w14:textId="6FDD65CB" w:rsidR="00AD502C" w:rsidRPr="00C95F33" w:rsidRDefault="00457D1B" w:rsidP="00457D1B">
      <w:pPr>
        <w:pStyle w:val="ManualHeading2"/>
        <w:rPr>
          <w:noProof/>
        </w:rPr>
      </w:pPr>
      <w:r w:rsidRPr="00C95F33">
        <w:t>1.1.</w:t>
      </w:r>
      <w:r w:rsidRPr="00C95F33">
        <w:tab/>
      </w:r>
      <w:r w:rsidR="00AD502C" w:rsidRPr="00C95F33">
        <w:rPr>
          <w:noProof/>
        </w:rPr>
        <w:t xml:space="preserve">Progress in implementation – </w:t>
      </w:r>
      <w:r w:rsidR="00251735" w:rsidRPr="00C95F33">
        <w:rPr>
          <w:noProof/>
        </w:rPr>
        <w:t>A</w:t>
      </w:r>
      <w:r w:rsidR="00AD502C" w:rsidRPr="00C95F33">
        <w:rPr>
          <w:noProof/>
        </w:rPr>
        <w:t>rticle 29(2)</w:t>
      </w:r>
      <w:r w:rsidR="002F1935" w:rsidRPr="00C95F33">
        <w:rPr>
          <w:noProof/>
        </w:rPr>
        <w:t>,</w:t>
      </w:r>
      <w:r w:rsidR="00AD502C" w:rsidRPr="00C95F33">
        <w:rPr>
          <w:noProof/>
        </w:rPr>
        <w:t xml:space="preserve"> point (a)</w:t>
      </w:r>
      <w:r w:rsidR="002F1935" w:rsidRPr="00C95F33">
        <w:rPr>
          <w:noProof/>
        </w:rPr>
        <w:t>,</w:t>
      </w:r>
      <w:r w:rsidR="00AD502C" w:rsidRPr="00C95F33">
        <w:rPr>
          <w:noProof/>
        </w:rPr>
        <w:t xml:space="preserve"> of Regulation (EU) 2021/1148</w:t>
      </w:r>
    </w:p>
    <w:p w14:paraId="48C9F9CC" w14:textId="2757672F" w:rsidR="00AD502C" w:rsidRPr="00C95F33" w:rsidRDefault="00AD502C" w:rsidP="00AD502C">
      <w:pPr>
        <w:rPr>
          <w:noProof/>
          <w:sz w:val="22"/>
        </w:rPr>
      </w:pPr>
      <w:r w:rsidRPr="00C95F33">
        <w:rPr>
          <w:noProof/>
          <w:sz w:val="22"/>
        </w:rPr>
        <w:t xml:space="preserve">For each specific objective, report on progress in </w:t>
      </w:r>
      <w:r w:rsidR="002C4A46" w:rsidRPr="00C95F33">
        <w:rPr>
          <w:noProof/>
          <w:sz w:val="22"/>
        </w:rPr>
        <w:t>implementing</w:t>
      </w:r>
      <w:r w:rsidRPr="00C95F33">
        <w:rPr>
          <w:noProof/>
          <w:sz w:val="22"/>
        </w:rPr>
        <w:t xml:space="preserve"> the programme and in achieving the milestones and targets set out </w:t>
      </w:r>
      <w:r w:rsidR="00930399" w:rsidRPr="00C95F33">
        <w:rPr>
          <w:noProof/>
          <w:sz w:val="22"/>
        </w:rPr>
        <w:t>in</w:t>
      </w:r>
      <w:r w:rsidR="00F7790E" w:rsidRPr="00C95F33">
        <w:rPr>
          <w:noProof/>
          <w:sz w:val="22"/>
        </w:rPr>
        <w:t xml:space="preserve"> it</w:t>
      </w:r>
      <w:r w:rsidRPr="00C95F33">
        <w:rPr>
          <w:noProof/>
          <w:sz w:val="22"/>
        </w:rPr>
        <w:t>, taking into account the most recent data for the accounting year</w:t>
      </w:r>
      <w:r w:rsidR="00930399" w:rsidRPr="00C95F33">
        <w:rPr>
          <w:noProof/>
          <w:sz w:val="22"/>
        </w:rPr>
        <w:t>,</w:t>
      </w:r>
      <w:r w:rsidRPr="00C95F33">
        <w:rPr>
          <w:noProof/>
          <w:sz w:val="22"/>
        </w:rPr>
        <w:t xml:space="preserve"> as required under Article 42 of Regulation (EU) 2021/1060. This refers to the cumulative data provided by 31</w:t>
      </w:r>
      <w:r w:rsidR="001373DE" w:rsidRPr="00C95F33">
        <w:rPr>
          <w:noProof/>
          <w:sz w:val="22"/>
        </w:rPr>
        <w:t xml:space="preserve"> </w:t>
      </w:r>
      <w:r w:rsidRPr="00C95F33">
        <w:rPr>
          <w:noProof/>
          <w:sz w:val="22"/>
        </w:rPr>
        <w:t xml:space="preserve">July of the year </w:t>
      </w:r>
      <w:r w:rsidR="00B03A44" w:rsidRPr="00C95F33">
        <w:rPr>
          <w:noProof/>
          <w:sz w:val="22"/>
        </w:rPr>
        <w:t>before</w:t>
      </w:r>
      <w:r w:rsidRPr="00C95F33">
        <w:rPr>
          <w:noProof/>
          <w:sz w:val="22"/>
        </w:rPr>
        <w:t xml:space="preserve"> the </w:t>
      </w:r>
      <w:r w:rsidR="00A61670" w:rsidRPr="00C95F33">
        <w:rPr>
          <w:noProof/>
          <w:sz w:val="22"/>
        </w:rPr>
        <w:t xml:space="preserve">year that </w:t>
      </w:r>
      <w:r w:rsidRPr="00C95F33">
        <w:rPr>
          <w:noProof/>
          <w:sz w:val="22"/>
        </w:rPr>
        <w:t>the report</w:t>
      </w:r>
      <w:r w:rsidR="00930399" w:rsidRPr="00C95F33">
        <w:rPr>
          <w:noProof/>
          <w:sz w:val="22"/>
        </w:rPr>
        <w:t xml:space="preserve"> is submitted</w:t>
      </w:r>
      <w:r w:rsidRPr="00C95F33">
        <w:rPr>
          <w:noProof/>
          <w:sz w:val="22"/>
        </w:rPr>
        <w:t>.</w:t>
      </w:r>
    </w:p>
    <w:p w14:paraId="0780D364" w14:textId="77777777" w:rsidR="00AD502C" w:rsidRPr="00C95F33" w:rsidRDefault="00AD502C" w:rsidP="00AD502C">
      <w:pPr>
        <w:rPr>
          <w:noProof/>
          <w:sz w:val="22"/>
        </w:rPr>
      </w:pPr>
      <w:r w:rsidRPr="00C95F33">
        <w:rPr>
          <w:noProof/>
          <w:sz w:val="22"/>
        </w:rPr>
        <w:t xml:space="preserve">Within each specific objective, </w:t>
      </w:r>
      <w:r w:rsidR="00B03A44" w:rsidRPr="00C95F33">
        <w:rPr>
          <w:noProof/>
          <w:sz w:val="22"/>
        </w:rPr>
        <w:t xml:space="preserve">the </w:t>
      </w:r>
      <w:r w:rsidRPr="00C95F33">
        <w:rPr>
          <w:noProof/>
          <w:sz w:val="22"/>
        </w:rPr>
        <w:t>information on progress should preferably b</w:t>
      </w:r>
      <w:bookmarkStart w:id="0" w:name="_GoBack"/>
      <w:bookmarkEnd w:id="0"/>
      <w:r w:rsidRPr="00C95F33">
        <w:rPr>
          <w:noProof/>
          <w:sz w:val="22"/>
        </w:rPr>
        <w:t xml:space="preserve">e structured around the implementation measures, indicative actions and desired outcomes identified in the </w:t>
      </w:r>
      <w:r w:rsidR="006C5C3B" w:rsidRPr="00C95F33">
        <w:rPr>
          <w:noProof/>
          <w:sz w:val="22"/>
        </w:rPr>
        <w:t>p</w:t>
      </w:r>
      <w:r w:rsidRPr="00C95F33">
        <w:rPr>
          <w:noProof/>
          <w:sz w:val="22"/>
        </w:rPr>
        <w:t xml:space="preserve">rogramme. </w:t>
      </w:r>
    </w:p>
    <w:p w14:paraId="743A535B" w14:textId="787275F6" w:rsidR="00AD502C" w:rsidRPr="00C95F33" w:rsidRDefault="005A3D19" w:rsidP="00AD502C">
      <w:pPr>
        <w:rPr>
          <w:noProof/>
          <w:sz w:val="22"/>
        </w:rPr>
      </w:pPr>
      <w:r w:rsidRPr="00C95F33">
        <w:rPr>
          <w:noProof/>
          <w:sz w:val="22"/>
        </w:rPr>
        <w:t xml:space="preserve">Describe also any steps taken and relevant activities related to the implementation of the partnership as per Article 8(2) of Regulation (EU) 2021/1060. </w:t>
      </w:r>
      <w:r w:rsidR="00AD502C" w:rsidRPr="00C95F33">
        <w:rPr>
          <w:noProof/>
          <w:sz w:val="22"/>
        </w:rPr>
        <w:t xml:space="preserve"> </w:t>
      </w:r>
    </w:p>
    <w:tbl>
      <w:tblPr>
        <w:tblStyle w:val="Grilledutableau"/>
        <w:tblW w:w="0" w:type="auto"/>
        <w:tblLook w:val="04A0" w:firstRow="1" w:lastRow="0" w:firstColumn="1" w:lastColumn="0" w:noHBand="0" w:noVBand="1"/>
      </w:tblPr>
      <w:tblGrid>
        <w:gridCol w:w="9289"/>
      </w:tblGrid>
      <w:tr w:rsidR="00C95F33" w:rsidRPr="00C95F33" w14:paraId="22C3C3A6" w14:textId="77777777" w:rsidTr="00BF115B">
        <w:tc>
          <w:tcPr>
            <w:tcW w:w="9289" w:type="dxa"/>
            <w:shd w:val="clear" w:color="auto" w:fill="auto"/>
          </w:tcPr>
          <w:p w14:paraId="7ABC8E8B" w14:textId="77777777" w:rsidR="00B31C15" w:rsidRPr="00C95F33" w:rsidRDefault="00B31C15" w:rsidP="00EB3DF4">
            <w:pPr>
              <w:pStyle w:val="Institutionquisigne"/>
              <w:spacing w:before="100" w:beforeAutospacing="1" w:after="100" w:afterAutospacing="1"/>
            </w:pPr>
            <w:r w:rsidRPr="00C95F33">
              <w:lastRenderedPageBreak/>
              <w:t>During the reference period (01/07/2022 - 30/06/2023), 15 projects have been selected under SO1, for a total EU subsidy amount of € 20.615.205,95 and a total project value of € 26.805.786,80 (this includes the national co-financing). Under SO2, one single project has been selected, and this for a total EU subsidy amount of € 3.333.333,34 and a total project value of € 4.400.000,00.</w:t>
            </w:r>
          </w:p>
          <w:p w14:paraId="7C03642B" w14:textId="3DCCA546" w:rsidR="00B31C15" w:rsidRPr="00C95F33" w:rsidRDefault="00B31C15" w:rsidP="00EB3DF4">
            <w:pPr>
              <w:pStyle w:val="Institutionquisigne"/>
              <w:spacing w:before="100" w:beforeAutospacing="1" w:after="100" w:afterAutospacing="1"/>
            </w:pPr>
            <w:r w:rsidRPr="00C95F33">
              <w:t>Two additional projects - awarded funding in the context of the 'Interoperability' top-up</w:t>
            </w:r>
            <w:r w:rsidR="00621526" w:rsidRPr="00C95F33">
              <w:t xml:space="preserve"> / Specific Action</w:t>
            </w:r>
            <w:r w:rsidRPr="00C95F33">
              <w:t xml:space="preserve"> - were selected only after the cut-off date (i.e. on 04/07/2023) and will be reported in the next APR.</w:t>
            </w:r>
          </w:p>
          <w:p w14:paraId="4F0D0692" w14:textId="64217B39" w:rsidR="00B31C15" w:rsidRPr="00C95F33" w:rsidRDefault="00B31C15" w:rsidP="00EB3DF4">
            <w:pPr>
              <w:pStyle w:val="Institutionquisigne"/>
              <w:spacing w:before="100" w:beforeAutospacing="1" w:after="100" w:afterAutospacing="1"/>
            </w:pPr>
            <w:r w:rsidRPr="00C95F33">
              <w:t>All projects under BMVI have been selected via a 'direct award' procedure.</w:t>
            </w:r>
            <w:r w:rsidR="00002D2B" w:rsidRPr="00C95F33">
              <w:t xml:space="preserve"> </w:t>
            </w:r>
            <w:r w:rsidR="00621526" w:rsidRPr="00C95F33">
              <w:t>Hence, n</w:t>
            </w:r>
            <w:r w:rsidR="00002D2B" w:rsidRPr="00C95F33">
              <w:t>o ‘open calls’ have been launched under BMVI.</w:t>
            </w:r>
            <w:r w:rsidR="00621526" w:rsidRPr="00C95F33">
              <w:t xml:space="preserve"> </w:t>
            </w:r>
          </w:p>
          <w:p w14:paraId="1C303263" w14:textId="64D8988C" w:rsidR="00034CA7" w:rsidRPr="00C95F33" w:rsidRDefault="00F74119" w:rsidP="00F74119">
            <w:pPr>
              <w:pStyle w:val="Institutionquisigne"/>
              <w:spacing w:before="100" w:beforeAutospacing="1" w:after="100" w:afterAutospacing="1"/>
            </w:pPr>
            <w:r w:rsidRPr="00C95F33">
              <w:t xml:space="preserve">In terms of </w:t>
            </w:r>
            <w:r w:rsidRPr="00C95F33">
              <w:rPr>
                <w:u w:val="single"/>
              </w:rPr>
              <w:t>focus</w:t>
            </w:r>
            <w:r w:rsidRPr="00C95F33">
              <w:t>, t</w:t>
            </w:r>
            <w:r w:rsidR="00B31C15" w:rsidRPr="00C95F33">
              <w:t xml:space="preserve">he large majority of the projects - and thus also the EU funding - situate themselves in the domain of 'Smart Borders', and concern primarily the continued development and/or implementation / maintenance of EU Smart Borders systems (including EES, ETIAS, SIS, etc.) and ensuring their interoperability. Given the fact that these systems often concern a variety of stakeholders, and on for reasons of administrative follow-up, some projects cover the same topic but complement each other in terms of scope (as such, for example, there is an ETIAS-project on the level of the BE National Crisis Centre, focusing on implementing the necessary IT-developments at their level, and there is a parallel ETIAS-project on the level of the BE Federal Police, focusing on the implementation of the necessary IT-developments within their </w:t>
            </w:r>
            <w:r w:rsidR="00EB3DF4" w:rsidRPr="00C95F33">
              <w:t>systems;</w:t>
            </w:r>
            <w:r w:rsidR="00B31C15" w:rsidRPr="00C95F33">
              <w:t xml:space="preserve"> </w:t>
            </w:r>
            <w:r w:rsidR="00EB3DF4" w:rsidRPr="00C95F33">
              <w:t>b</w:t>
            </w:r>
            <w:r w:rsidR="00B31C15" w:rsidRPr="00C95F33">
              <w:t>oth projects complement each other in terms of scope).</w:t>
            </w:r>
          </w:p>
          <w:p w14:paraId="7097C13A" w14:textId="0C082E9F" w:rsidR="00034CA7" w:rsidRPr="00C95F33" w:rsidRDefault="00EB3DF4" w:rsidP="00EB3DF4">
            <w:pPr>
              <w:pStyle w:val="Institutionquisigne"/>
              <w:spacing w:before="100" w:beforeAutospacing="1" w:after="100" w:afterAutospacing="1"/>
            </w:pPr>
            <w:r w:rsidRPr="00C95F33">
              <w:t xml:space="preserve">The above-mentioned focus on ‘Smart Borders’ projects is </w:t>
            </w:r>
            <w:r w:rsidR="00BE7076" w:rsidRPr="00C95F33">
              <w:t xml:space="preserve">entirely </w:t>
            </w:r>
            <w:r w:rsidRPr="00C95F33">
              <w:t>in line with</w:t>
            </w:r>
            <w:r w:rsidR="00C26C38" w:rsidRPr="00C95F33">
              <w:t xml:space="preserve"> BE’s BMVI National Programme 2021-2027, where the “(further) development of different existing (and/or new) IT-applications in terms of border management (Eurosur, BorderTask, BELVIS, EES, ETIAS, SIS II,…) and their maintenance and system updates, as well as their ‘interoperability’”</w:t>
            </w:r>
            <w:r w:rsidR="003B5D65" w:rsidRPr="00C95F33">
              <w:t xml:space="preserve"> was highlighted as a key focus area. </w:t>
            </w:r>
            <w:r w:rsidR="001E7B51" w:rsidRPr="00C95F33">
              <w:t>Hence, i</w:t>
            </w:r>
            <w:r w:rsidR="003B5D65" w:rsidRPr="00C95F33">
              <w:t xml:space="preserve">n this </w:t>
            </w:r>
            <w:r w:rsidR="001E7B51" w:rsidRPr="00C95F33">
              <w:t>respect</w:t>
            </w:r>
            <w:r w:rsidR="003B5D65" w:rsidRPr="00C95F33">
              <w:t xml:space="preserve">, BE is </w:t>
            </w:r>
            <w:r w:rsidR="001E7B51" w:rsidRPr="00C95F33">
              <w:t xml:space="preserve">clearly </w:t>
            </w:r>
            <w:r w:rsidR="003B5D65" w:rsidRPr="00C95F33">
              <w:t>following the</w:t>
            </w:r>
            <w:r w:rsidR="001E7B51" w:rsidRPr="00C95F33">
              <w:t xml:space="preserve"> strategic lines set out in its National Programme. In addition, </w:t>
            </w:r>
            <w:r w:rsidR="009B5FFF" w:rsidRPr="00C95F33">
              <w:t xml:space="preserve">by focusing on these actions, BE also contributes in a significant manner to </w:t>
            </w:r>
            <w:r w:rsidR="00002D2B" w:rsidRPr="00C95F33">
              <w:t>ensuring the implementation on BE level of relevant EU acquis in these fields (</w:t>
            </w:r>
            <w:r w:rsidRPr="00C95F33">
              <w:t>ETIAS Regulation,</w:t>
            </w:r>
            <w:r w:rsidR="00002D2B" w:rsidRPr="00C95F33">
              <w:t xml:space="preserve"> EES Regulation, SIS RECAST, etc.).</w:t>
            </w:r>
          </w:p>
          <w:p w14:paraId="1F9BD829" w14:textId="1F054724" w:rsidR="00034CA7" w:rsidRPr="00C95F33" w:rsidRDefault="00E826E0" w:rsidP="00EB3DF4">
            <w:pPr>
              <w:pStyle w:val="Institutionquisigne"/>
              <w:spacing w:before="100" w:beforeAutospacing="1" w:after="100" w:afterAutospacing="1"/>
            </w:pPr>
            <w:r w:rsidRPr="00C95F33">
              <w:t>Under SO2, the only project selected focuses on ensuring the maintenance and system updates of the BELVIS Message Broker.</w:t>
            </w:r>
          </w:p>
          <w:p w14:paraId="2886EEA5" w14:textId="7513A48C" w:rsidR="00F74119" w:rsidRPr="00C95F33" w:rsidRDefault="00F74119" w:rsidP="002755EE">
            <w:pPr>
              <w:pStyle w:val="Personnequisigne"/>
              <w:jc w:val="both"/>
            </w:pPr>
            <w:r w:rsidRPr="00C95F33">
              <w:t xml:space="preserve">In terms of </w:t>
            </w:r>
            <w:r w:rsidRPr="00C95F33">
              <w:rPr>
                <w:u w:val="single"/>
              </w:rPr>
              <w:t>implementation</w:t>
            </w:r>
            <w:r w:rsidRPr="00C95F33">
              <w:t>, the majority of the projects</w:t>
            </w:r>
            <w:r w:rsidR="00584420" w:rsidRPr="00C95F33">
              <w:t xml:space="preserve"> are well underway and no significant delays / problems have been signalled. </w:t>
            </w:r>
            <w:r w:rsidR="00D64C6C" w:rsidRPr="00C95F33">
              <w:t>For those projects were (new) staff members were</w:t>
            </w:r>
            <w:r w:rsidR="00584420" w:rsidRPr="00C95F33">
              <w:t xml:space="preserve"> </w:t>
            </w:r>
            <w:r w:rsidR="00D64C6C" w:rsidRPr="00C95F33">
              <w:t>to be recruited as part of the</w:t>
            </w:r>
            <w:r w:rsidR="00D071BC" w:rsidRPr="00C95F33">
              <w:t xml:space="preserve"> project scope, some delays in the recruitment procedures were caused by the late approval of the national programmes – thereby also delaying the approval / signature of the grant agreements. In one specific case, the</w:t>
            </w:r>
            <w:r w:rsidR="001B37B7" w:rsidRPr="00C95F33">
              <w:t xml:space="preserve"> lack of progress in project implementation is inherently linked to the objective of the project, namely the purchase of technical border control equipment (e-gates) for the external Schengen border in Brussels Airport Zaventem, Gosselies Airport and the Eurostar terminal in Brussels Midi Station. </w:t>
            </w:r>
            <w:r w:rsidR="0060357A" w:rsidRPr="00C95F33">
              <w:t>More specifically, a</w:t>
            </w:r>
            <w:r w:rsidR="002755EE" w:rsidRPr="00C95F33">
              <w:t>ll e-gates are being purchased th</w:t>
            </w:r>
            <w:r w:rsidR="0060357A" w:rsidRPr="00C95F33">
              <w:t xml:space="preserve">rough a </w:t>
            </w:r>
            <w:r w:rsidR="00780408" w:rsidRPr="00C95F33">
              <w:t xml:space="preserve">long and cumbersome </w:t>
            </w:r>
            <w:r w:rsidR="0060357A" w:rsidRPr="00C95F33">
              <w:t>tendering procedure, w</w:t>
            </w:r>
            <w:r w:rsidR="00BF115B" w:rsidRPr="00C95F33">
              <w:t xml:space="preserve">hich has not yet been finalized. In another specific case, </w:t>
            </w:r>
            <w:r w:rsidR="002A42CC" w:rsidRPr="00C95F33">
              <w:t xml:space="preserve">the beneficiary together with the Managing Authority decided to cancel </w:t>
            </w:r>
            <w:r w:rsidR="00BF115B" w:rsidRPr="00C95F33">
              <w:t>a project focusing on the maintenance for</w:t>
            </w:r>
            <w:r w:rsidR="00CB6CFF" w:rsidRPr="00C95F33">
              <w:t xml:space="preserve"> a.o.</w:t>
            </w:r>
            <w:r w:rsidR="00BF115B" w:rsidRPr="00C95F33">
              <w:t xml:space="preserve"> EES / ETIAS</w:t>
            </w:r>
            <w:r w:rsidR="002A42CC" w:rsidRPr="00C95F33">
              <w:t xml:space="preserve">. Given the delays on EU level in operationalizing these systems, it was decided </w:t>
            </w:r>
            <w:r w:rsidR="002A42CC" w:rsidRPr="00C95F33">
              <w:lastRenderedPageBreak/>
              <w:t>to reorient the funds foreseen for this maintenance project towards another project focusing on the further developments</w:t>
            </w:r>
            <w:r w:rsidR="00B469ED" w:rsidRPr="00C95F33">
              <w:t xml:space="preserve"> in terms of EES</w:t>
            </w:r>
            <w:r w:rsidR="002A42CC" w:rsidRPr="00C95F33">
              <w:t xml:space="preserve"> on national </w:t>
            </w:r>
            <w:r w:rsidR="00B469ED" w:rsidRPr="00C95F33">
              <w:t>BE level</w:t>
            </w:r>
            <w:r w:rsidR="002A42CC" w:rsidRPr="00C95F33">
              <w:t>.</w:t>
            </w:r>
          </w:p>
          <w:p w14:paraId="7C9CB474" w14:textId="3EE62EBD" w:rsidR="00034CA7" w:rsidRPr="00C95F33" w:rsidRDefault="00034CA7" w:rsidP="00F10FC9">
            <w:pPr>
              <w:pStyle w:val="Institutionquisigne"/>
              <w:spacing w:before="100" w:beforeAutospacing="1"/>
            </w:pPr>
          </w:p>
        </w:tc>
      </w:tr>
    </w:tbl>
    <w:p w14:paraId="4B35745F" w14:textId="75BD07B3" w:rsidR="00AD502C" w:rsidRPr="00C95F33" w:rsidRDefault="00457D1B" w:rsidP="00457D1B">
      <w:pPr>
        <w:pStyle w:val="ManualHeading2"/>
        <w:rPr>
          <w:noProof/>
        </w:rPr>
      </w:pPr>
      <w:r w:rsidRPr="00C95F33">
        <w:lastRenderedPageBreak/>
        <w:t>1.2.</w:t>
      </w:r>
      <w:r w:rsidRPr="00C95F33">
        <w:tab/>
      </w:r>
      <w:r w:rsidR="00AD502C" w:rsidRPr="00C95F33">
        <w:rPr>
          <w:noProof/>
        </w:rPr>
        <w:t xml:space="preserve">Issues affecting performance – </w:t>
      </w:r>
      <w:r w:rsidR="00561E3E" w:rsidRPr="00C95F33">
        <w:rPr>
          <w:noProof/>
        </w:rPr>
        <w:t>A</w:t>
      </w:r>
      <w:r w:rsidR="00AD502C" w:rsidRPr="00C95F33">
        <w:rPr>
          <w:noProof/>
        </w:rPr>
        <w:t>rticle 29(2)</w:t>
      </w:r>
      <w:r w:rsidR="002F1935" w:rsidRPr="00C95F33">
        <w:rPr>
          <w:noProof/>
        </w:rPr>
        <w:t>,</w:t>
      </w:r>
      <w:r w:rsidR="00AD502C" w:rsidRPr="00C95F33">
        <w:rPr>
          <w:noProof/>
        </w:rPr>
        <w:t xml:space="preserve"> point (b)</w:t>
      </w:r>
      <w:r w:rsidR="002F1935" w:rsidRPr="00C95F33">
        <w:rPr>
          <w:noProof/>
        </w:rPr>
        <w:t>,</w:t>
      </w:r>
      <w:r w:rsidR="00AD502C" w:rsidRPr="00C95F33">
        <w:rPr>
          <w:noProof/>
        </w:rPr>
        <w:t xml:space="preserve"> of Regulation (EU) 2021/1148</w:t>
      </w:r>
    </w:p>
    <w:p w14:paraId="5CBE3BC6" w14:textId="77777777" w:rsidR="00AD502C" w:rsidRPr="00C95F33" w:rsidRDefault="00AD502C" w:rsidP="00AD502C">
      <w:pPr>
        <w:rPr>
          <w:noProof/>
          <w:sz w:val="22"/>
        </w:rPr>
      </w:pPr>
      <w:r w:rsidRPr="00C95F33">
        <w:rPr>
          <w:noProof/>
          <w:sz w:val="22"/>
        </w:rPr>
        <w:t xml:space="preserve">For each specific objective, describe any issues affecting the performance of the programme during the accounting year </w:t>
      </w:r>
      <w:r w:rsidR="008008F2" w:rsidRPr="00C95F33">
        <w:rPr>
          <w:noProof/>
          <w:sz w:val="22"/>
        </w:rPr>
        <w:t>and</w:t>
      </w:r>
      <w:r w:rsidRPr="00C95F33">
        <w:rPr>
          <w:noProof/>
          <w:sz w:val="22"/>
        </w:rPr>
        <w:t xml:space="preserve"> any action</w:t>
      </w:r>
      <w:r w:rsidR="00B03A44" w:rsidRPr="00C95F33">
        <w:rPr>
          <w:noProof/>
          <w:sz w:val="22"/>
        </w:rPr>
        <w:t>s</w:t>
      </w:r>
      <w:r w:rsidRPr="00C95F33">
        <w:rPr>
          <w:noProof/>
          <w:sz w:val="22"/>
        </w:rPr>
        <w:t xml:space="preserve"> taken to address them. </w:t>
      </w:r>
    </w:p>
    <w:p w14:paraId="0907FDEA" w14:textId="77777777" w:rsidR="00AD502C" w:rsidRPr="00C95F33" w:rsidRDefault="00AD502C" w:rsidP="00AD502C">
      <w:pPr>
        <w:rPr>
          <w:noProof/>
          <w:sz w:val="22"/>
        </w:rPr>
      </w:pPr>
      <w:r w:rsidRPr="00C95F33">
        <w:rPr>
          <w:noProof/>
          <w:sz w:val="22"/>
        </w:rPr>
        <w:t xml:space="preserve">Whenever possible and relevant, you are encouraged to distinguish </w:t>
      </w:r>
      <w:r w:rsidR="008008F2" w:rsidRPr="00C95F33">
        <w:rPr>
          <w:noProof/>
          <w:sz w:val="22"/>
        </w:rPr>
        <w:t xml:space="preserve">between </w:t>
      </w:r>
      <w:r w:rsidRPr="00C95F33">
        <w:rPr>
          <w:noProof/>
          <w:sz w:val="22"/>
        </w:rPr>
        <w:t>issues related to:</w:t>
      </w:r>
    </w:p>
    <w:p w14:paraId="12A4AB77" w14:textId="77777777" w:rsidR="00AD502C" w:rsidRPr="00C95F33" w:rsidRDefault="00AD502C" w:rsidP="00462F73">
      <w:pPr>
        <w:pStyle w:val="Tiret0"/>
        <w:numPr>
          <w:ilvl w:val="0"/>
          <w:numId w:val="10"/>
        </w:numPr>
        <w:rPr>
          <w:noProof/>
          <w:sz w:val="22"/>
        </w:rPr>
      </w:pPr>
      <w:r w:rsidRPr="00C95F33">
        <w:rPr>
          <w:noProof/>
          <w:sz w:val="22"/>
        </w:rPr>
        <w:t>underreporting of achievements;</w:t>
      </w:r>
      <w:r w:rsidRPr="00C95F33">
        <w:rPr>
          <w:rStyle w:val="Appelnotedebasdep"/>
          <w:noProof/>
          <w:sz w:val="22"/>
        </w:rPr>
        <w:footnoteReference w:id="2"/>
      </w:r>
      <w:r w:rsidRPr="00C95F33">
        <w:rPr>
          <w:noProof/>
          <w:sz w:val="22"/>
        </w:rPr>
        <w:t xml:space="preserve"> </w:t>
      </w:r>
    </w:p>
    <w:p w14:paraId="5252A336" w14:textId="77777777" w:rsidR="00AD502C" w:rsidRPr="00C95F33" w:rsidRDefault="00AD502C" w:rsidP="00462F73">
      <w:pPr>
        <w:pStyle w:val="Tiret0"/>
        <w:numPr>
          <w:ilvl w:val="0"/>
          <w:numId w:val="10"/>
        </w:numPr>
        <w:rPr>
          <w:noProof/>
          <w:sz w:val="22"/>
        </w:rPr>
      </w:pPr>
      <w:r w:rsidRPr="00C95F33">
        <w:rPr>
          <w:noProof/>
          <w:sz w:val="22"/>
        </w:rPr>
        <w:t>target setting;</w:t>
      </w:r>
      <w:r w:rsidRPr="00C95F33">
        <w:rPr>
          <w:rStyle w:val="Appelnotedebasdep"/>
          <w:noProof/>
          <w:sz w:val="22"/>
        </w:rPr>
        <w:footnoteReference w:id="3"/>
      </w:r>
      <w:r w:rsidRPr="00C95F33">
        <w:rPr>
          <w:noProof/>
          <w:sz w:val="22"/>
        </w:rPr>
        <w:t xml:space="preserve"> </w:t>
      </w:r>
    </w:p>
    <w:p w14:paraId="474C242F" w14:textId="77777777" w:rsidR="00AD502C" w:rsidRPr="00C95F33" w:rsidRDefault="00AD502C" w:rsidP="00462F73">
      <w:pPr>
        <w:pStyle w:val="Tiret0"/>
        <w:numPr>
          <w:ilvl w:val="0"/>
          <w:numId w:val="10"/>
        </w:numPr>
        <w:rPr>
          <w:noProof/>
          <w:sz w:val="22"/>
        </w:rPr>
      </w:pPr>
      <w:r w:rsidRPr="00C95F33">
        <w:rPr>
          <w:noProof/>
          <w:sz w:val="22"/>
        </w:rPr>
        <w:t>procedural delays and administrative capacity;</w:t>
      </w:r>
      <w:r w:rsidRPr="00C95F33">
        <w:rPr>
          <w:rStyle w:val="Appelnotedebasdep"/>
          <w:noProof/>
          <w:sz w:val="22"/>
        </w:rPr>
        <w:footnoteReference w:id="4"/>
      </w:r>
      <w:r w:rsidRPr="00C95F33">
        <w:rPr>
          <w:noProof/>
          <w:sz w:val="22"/>
        </w:rPr>
        <w:t xml:space="preserve"> </w:t>
      </w:r>
    </w:p>
    <w:p w14:paraId="4F15098C" w14:textId="77777777" w:rsidR="00AD502C" w:rsidRPr="00C95F33" w:rsidRDefault="00AD502C" w:rsidP="00462F73">
      <w:pPr>
        <w:pStyle w:val="Tiret0"/>
        <w:numPr>
          <w:ilvl w:val="0"/>
          <w:numId w:val="10"/>
        </w:numPr>
        <w:rPr>
          <w:noProof/>
          <w:sz w:val="22"/>
        </w:rPr>
      </w:pPr>
      <w:r w:rsidRPr="00C95F33">
        <w:rPr>
          <w:noProof/>
          <w:sz w:val="22"/>
        </w:rPr>
        <w:t>contextual changes;</w:t>
      </w:r>
      <w:r w:rsidRPr="00C95F33">
        <w:rPr>
          <w:rStyle w:val="Appelnotedebasdep"/>
          <w:noProof/>
          <w:sz w:val="22"/>
        </w:rPr>
        <w:footnoteReference w:id="5"/>
      </w:r>
    </w:p>
    <w:p w14:paraId="751C1DF7" w14:textId="77777777" w:rsidR="00AD502C" w:rsidRPr="00C95F33" w:rsidRDefault="00AD502C" w:rsidP="00462F73">
      <w:pPr>
        <w:pStyle w:val="Tiret0"/>
        <w:numPr>
          <w:ilvl w:val="0"/>
          <w:numId w:val="10"/>
        </w:numPr>
        <w:rPr>
          <w:noProof/>
          <w:sz w:val="22"/>
        </w:rPr>
      </w:pPr>
      <w:r w:rsidRPr="00C95F33">
        <w:rPr>
          <w:noProof/>
          <w:sz w:val="22"/>
        </w:rPr>
        <w:t>the design and/or implementation of the operations;</w:t>
      </w:r>
      <w:r w:rsidR="009F716C" w:rsidRPr="00C95F33">
        <w:rPr>
          <w:rStyle w:val="Appelnotedebasdep"/>
          <w:noProof/>
          <w:sz w:val="22"/>
        </w:rPr>
        <w:footnoteReference w:id="6"/>
      </w:r>
      <w:r w:rsidRPr="00C95F33">
        <w:rPr>
          <w:noProof/>
          <w:sz w:val="22"/>
        </w:rPr>
        <w:t xml:space="preserve"> </w:t>
      </w:r>
      <w:r w:rsidR="002166C4" w:rsidRPr="00C95F33">
        <w:rPr>
          <w:noProof/>
          <w:sz w:val="22"/>
        </w:rPr>
        <w:t>and</w:t>
      </w:r>
    </w:p>
    <w:p w14:paraId="52B69254" w14:textId="77777777" w:rsidR="00AD502C" w:rsidRPr="00C95F33" w:rsidRDefault="00AD502C" w:rsidP="00462F73">
      <w:pPr>
        <w:pStyle w:val="Tiret0"/>
        <w:numPr>
          <w:ilvl w:val="0"/>
          <w:numId w:val="10"/>
        </w:numPr>
        <w:rPr>
          <w:noProof/>
          <w:sz w:val="22"/>
        </w:rPr>
      </w:pPr>
      <w:r w:rsidRPr="00C95F33">
        <w:rPr>
          <w:noProof/>
          <w:sz w:val="22"/>
        </w:rPr>
        <w:t xml:space="preserve">any other matter. </w:t>
      </w:r>
    </w:p>
    <w:p w14:paraId="41187543" w14:textId="77777777" w:rsidR="00AD502C" w:rsidRPr="00C95F33" w:rsidRDefault="00DB17CF" w:rsidP="00151819">
      <w:pPr>
        <w:rPr>
          <w:i/>
          <w:noProof/>
          <w:sz w:val="22"/>
        </w:rPr>
      </w:pPr>
      <w:r w:rsidRPr="00C95F33">
        <w:rPr>
          <w:noProof/>
          <w:sz w:val="22"/>
        </w:rPr>
        <w:t xml:space="preserve">Describe any changes to strategy or national objectives, or any factors that may lead to changes in the future, as well as the modifications that those changes have produced in the </w:t>
      </w:r>
      <w:r w:rsidR="00015579" w:rsidRPr="00C95F33">
        <w:rPr>
          <w:noProof/>
          <w:sz w:val="22"/>
        </w:rPr>
        <w:t>targets estimated</w:t>
      </w:r>
      <w:r w:rsidRPr="00C95F33">
        <w:rPr>
          <w:noProof/>
          <w:sz w:val="22"/>
        </w:rPr>
        <w:t xml:space="preserve"> as per the methodology to establish the performance framework.</w:t>
      </w:r>
    </w:p>
    <w:p w14:paraId="62574F86" w14:textId="40AF81DE" w:rsidR="00AD502C" w:rsidRPr="00C95F33" w:rsidRDefault="00DB17CF" w:rsidP="00AD502C">
      <w:pPr>
        <w:rPr>
          <w:noProof/>
          <w:sz w:val="22"/>
        </w:rPr>
      </w:pPr>
      <w:r w:rsidRPr="00C95F33">
        <w:rPr>
          <w:noProof/>
          <w:sz w:val="22"/>
        </w:rPr>
        <w:t>I</w:t>
      </w:r>
      <w:r w:rsidR="00AD502C" w:rsidRPr="00C95F33">
        <w:rPr>
          <w:noProof/>
          <w:sz w:val="22"/>
        </w:rPr>
        <w:t xml:space="preserve">nclude information on any reasoned opinions delivered by the Commission in respect of infringement proceedings under Article 258 </w:t>
      </w:r>
      <w:r w:rsidR="00A97818" w:rsidRPr="00C95F33">
        <w:rPr>
          <w:noProof/>
          <w:sz w:val="22"/>
        </w:rPr>
        <w:t>of the Treaty on the Functioning of the European Union (</w:t>
      </w:r>
      <w:r w:rsidR="00AD502C" w:rsidRPr="00C95F33">
        <w:rPr>
          <w:noProof/>
          <w:sz w:val="22"/>
        </w:rPr>
        <w:t>TFEU</w:t>
      </w:r>
      <w:r w:rsidR="00A97818" w:rsidRPr="00C95F33">
        <w:rPr>
          <w:noProof/>
          <w:sz w:val="22"/>
        </w:rPr>
        <w:t>), and which are</w:t>
      </w:r>
      <w:r w:rsidR="00AD502C" w:rsidRPr="00C95F33">
        <w:rPr>
          <w:noProof/>
          <w:sz w:val="22"/>
        </w:rPr>
        <w:t xml:space="preserve"> linked to the implementation of the </w:t>
      </w:r>
      <w:r w:rsidR="00623FB7" w:rsidRPr="00C95F33">
        <w:rPr>
          <w:noProof/>
          <w:sz w:val="22"/>
        </w:rPr>
        <w:t>Instrument</w:t>
      </w:r>
      <w:r w:rsidR="00AD502C" w:rsidRPr="00C95F33">
        <w:rPr>
          <w:noProof/>
          <w:sz w:val="22"/>
        </w:rPr>
        <w:t>.</w:t>
      </w:r>
    </w:p>
    <w:tbl>
      <w:tblPr>
        <w:tblStyle w:val="Grilledutableau"/>
        <w:tblW w:w="0" w:type="auto"/>
        <w:tblLook w:val="04A0" w:firstRow="1" w:lastRow="0" w:firstColumn="1" w:lastColumn="0" w:noHBand="0" w:noVBand="1"/>
      </w:tblPr>
      <w:tblGrid>
        <w:gridCol w:w="9289"/>
      </w:tblGrid>
      <w:tr w:rsidR="00C95F33" w:rsidRPr="00C95F33" w14:paraId="77FA6996" w14:textId="77777777" w:rsidTr="00E45665">
        <w:tc>
          <w:tcPr>
            <w:tcW w:w="9289" w:type="dxa"/>
          </w:tcPr>
          <w:p w14:paraId="401A4ECD" w14:textId="460B1269" w:rsidR="00430490" w:rsidRPr="00C95F33" w:rsidRDefault="00720ABB" w:rsidP="00720ABB">
            <w:pPr>
              <w:pStyle w:val="Personnequisigne"/>
              <w:spacing w:before="100" w:beforeAutospacing="1" w:after="100" w:afterAutospacing="1"/>
              <w:jc w:val="both"/>
            </w:pPr>
            <w:r w:rsidRPr="00C95F33">
              <w:t>The m</w:t>
            </w:r>
            <w:r w:rsidR="00430490" w:rsidRPr="00C95F33">
              <w:t>ain obstacle affecting the performance of projects under all SO</w:t>
            </w:r>
            <w:r w:rsidRPr="00C95F33">
              <w:t>’s</w:t>
            </w:r>
            <w:r w:rsidR="00430490" w:rsidRPr="00C95F33">
              <w:t xml:space="preserve"> was the late approval of projects. Projects only received grant agreements in December 2022 / January 2023. This caused </w:t>
            </w:r>
            <w:r w:rsidRPr="00C95F33">
              <w:t xml:space="preserve">significant </w:t>
            </w:r>
            <w:r w:rsidR="00430490" w:rsidRPr="00C95F33">
              <w:t>delay</w:t>
            </w:r>
            <w:r w:rsidRPr="00C95F33">
              <w:t>s</w:t>
            </w:r>
            <w:r w:rsidR="00430490" w:rsidRPr="00C95F33">
              <w:t xml:space="preserve"> with regard to the start of </w:t>
            </w:r>
            <w:r w:rsidRPr="00C95F33">
              <w:t>t</w:t>
            </w:r>
            <w:r w:rsidR="00430490" w:rsidRPr="00C95F33">
              <w:t>he projects (hiring staff / starting public procurement procedures).</w:t>
            </w:r>
          </w:p>
          <w:p w14:paraId="24E888E6" w14:textId="450A8843" w:rsidR="00DD2737" w:rsidRPr="00C95F33" w:rsidRDefault="00DD2737" w:rsidP="00D34EB6">
            <w:pPr>
              <w:pStyle w:val="Personnequisigne"/>
              <w:jc w:val="both"/>
            </w:pPr>
            <w:r w:rsidRPr="00C95F33">
              <w:t>Under SO 1 (Border Management), there remains considerably uncertainty – both on the level of the Managing Authority as on the level of the final beneficiaries – with regard to the concrete implications of the (lack of) funding for the ETIAS National Unit.</w:t>
            </w:r>
            <w:r w:rsidR="00127BA7" w:rsidRPr="00C95F33">
              <w:t xml:space="preserve"> In line with the European Commission’s feedback during the drafting process of the BMVI NP, BE’</w:t>
            </w:r>
            <w:r w:rsidR="00D605B4" w:rsidRPr="00C95F33">
              <w:t>s Managing Authority has allocated / reserved part of its BMVI funding for the financing of the ETIAS National Unit.</w:t>
            </w:r>
          </w:p>
          <w:p w14:paraId="5E936797" w14:textId="39422163" w:rsidR="00CC02EE" w:rsidRPr="00C95F33" w:rsidRDefault="00430792" w:rsidP="00AC79AE">
            <w:pPr>
              <w:pStyle w:val="Institutionquisigne"/>
              <w:spacing w:before="100" w:beforeAutospacing="1" w:after="100" w:afterAutospacing="1"/>
            </w:pPr>
            <w:r w:rsidRPr="00C95F33">
              <w:t>As mentioned under point 1.1</w:t>
            </w:r>
            <w:r w:rsidR="00CC02EE" w:rsidRPr="00C95F33">
              <w:t xml:space="preserve">, the beneficiary together with the Managing Authority decided </w:t>
            </w:r>
            <w:r w:rsidR="00CC02EE" w:rsidRPr="00C95F33">
              <w:lastRenderedPageBreak/>
              <w:t xml:space="preserve">to </w:t>
            </w:r>
            <w:r w:rsidR="00B469ED" w:rsidRPr="00C95F33">
              <w:t>stop</w:t>
            </w:r>
            <w:r w:rsidR="00CC02EE" w:rsidRPr="00C95F33">
              <w:t xml:space="preserve"> a project focusing on the maintenance for a.o. EES / ETIAS. Given the delays on EU level in operationalizing these systems, it was decided to reorient the funds foreseen for this maintenance project towards another project focusing on the further developments</w:t>
            </w:r>
            <w:r w:rsidR="00B469ED" w:rsidRPr="00C95F33">
              <w:t xml:space="preserve"> in terms of EES</w:t>
            </w:r>
            <w:r w:rsidR="00CC02EE" w:rsidRPr="00C95F33">
              <w:t xml:space="preserve"> on </w:t>
            </w:r>
            <w:r w:rsidR="00B469ED" w:rsidRPr="00C95F33">
              <w:t>BE</w:t>
            </w:r>
            <w:r w:rsidR="00CC02EE" w:rsidRPr="00C95F33">
              <w:t xml:space="preserve"> national </w:t>
            </w:r>
            <w:r w:rsidR="00B469ED" w:rsidRPr="00C95F33">
              <w:t>level</w:t>
            </w:r>
            <w:r w:rsidR="00CC02EE" w:rsidRPr="00C95F33">
              <w:t>.</w:t>
            </w:r>
          </w:p>
          <w:p w14:paraId="6AD65280" w14:textId="3B1DF9BE" w:rsidR="00412EEB" w:rsidRPr="00C95F33" w:rsidRDefault="0033203E" w:rsidP="00DD2737">
            <w:pPr>
              <w:pStyle w:val="Personnequisigne"/>
              <w:spacing w:before="100" w:beforeAutospacing="1" w:after="100" w:afterAutospacing="1"/>
              <w:jc w:val="both"/>
            </w:pPr>
            <w:r w:rsidRPr="00C95F33">
              <w:t>U</w:t>
            </w:r>
            <w:r w:rsidR="003E1991" w:rsidRPr="00C95F33">
              <w:t>nder SO2 (Visa</w:t>
            </w:r>
            <w:r w:rsidR="00E86B00" w:rsidRPr="00C95F33">
              <w:t>)</w:t>
            </w:r>
            <w:r w:rsidR="00426432" w:rsidRPr="00C95F33">
              <w:t xml:space="preserve">, the main beneficiary (Ministry of Foreign Affairs) has decided not to apply for Home Affairs funding anymore, </w:t>
            </w:r>
            <w:r w:rsidRPr="00C95F33">
              <w:t xml:space="preserve">mainly </w:t>
            </w:r>
            <w:r w:rsidR="00426432" w:rsidRPr="00C95F33">
              <w:t>due to</w:t>
            </w:r>
            <w:r w:rsidRPr="00C95F33">
              <w:t xml:space="preserve"> administrative reasons (lack of capacity with</w:t>
            </w:r>
            <w:r w:rsidR="008B2DD3" w:rsidRPr="00C95F33">
              <w:t>in</w:t>
            </w:r>
            <w:r w:rsidRPr="00C95F33">
              <w:t xml:space="preserve"> the organisation, combined to the heavy administrative burden associated with obtaining and justifying expenditure). </w:t>
            </w:r>
            <w:r w:rsidR="009B255F" w:rsidRPr="00C95F33">
              <w:t>From the outset</w:t>
            </w:r>
            <w:r w:rsidR="009525FC" w:rsidRPr="00C95F33">
              <w:t xml:space="preserve">, </w:t>
            </w:r>
            <w:r w:rsidR="00541715" w:rsidRPr="00C95F33">
              <w:t>this beneficiary was</w:t>
            </w:r>
            <w:r w:rsidR="009B255F" w:rsidRPr="00C95F33">
              <w:t xml:space="preserve"> extensively</w:t>
            </w:r>
            <w:r w:rsidR="00541715" w:rsidRPr="00C95F33">
              <w:t xml:space="preserve"> consulted during the preparation of the BMVI NP</w:t>
            </w:r>
            <w:r w:rsidR="009B255F" w:rsidRPr="00C95F33">
              <w:t xml:space="preserve">. After approval of the National Programme, </w:t>
            </w:r>
            <w:r w:rsidR="009525FC" w:rsidRPr="00C95F33">
              <w:t>2 ‘direct awards’ were opened</w:t>
            </w:r>
            <w:r w:rsidR="009B255F" w:rsidRPr="00C95F33">
              <w:t xml:space="preserve"> (one related to continuation of the ‘Document Verification Officers’ (DVO) pro</w:t>
            </w:r>
            <w:r w:rsidR="004944B9" w:rsidRPr="00C95F33">
              <w:t xml:space="preserve">ject; and one focusing on the improvement of the knowledge of visa agents concerning Schengen-related entry legislation (including through trainings). </w:t>
            </w:r>
            <w:r w:rsidR="0007520F" w:rsidRPr="00C95F33">
              <w:t>However, d</w:t>
            </w:r>
            <w:r w:rsidR="004944B9" w:rsidRPr="00C95F33">
              <w:t>uring the</w:t>
            </w:r>
            <w:r w:rsidR="0007520F" w:rsidRPr="00C95F33">
              <w:t xml:space="preserve"> application process, the beneficiary decided not to submit any concrete project proposals and to opt out from BMVI funding (for the foreseeable future).</w:t>
            </w:r>
          </w:p>
          <w:p w14:paraId="0BFF7D58" w14:textId="324EA007" w:rsidR="00412EEB" w:rsidRPr="00C95F33" w:rsidRDefault="00A63309" w:rsidP="00D34EB6">
            <w:pPr>
              <w:pStyle w:val="Personnequisigne"/>
              <w:jc w:val="both"/>
            </w:pPr>
            <w:r w:rsidRPr="00C95F33">
              <w:t xml:space="preserve">As a consequence, certain actions </w:t>
            </w:r>
            <w:r w:rsidR="00925698" w:rsidRPr="00C95F33">
              <w:t xml:space="preserve">in the NP </w:t>
            </w:r>
            <w:r w:rsidRPr="00C95F33">
              <w:t>under SO2 are unlikely to take place in the short and middle term</w:t>
            </w:r>
            <w:r w:rsidR="00925698" w:rsidRPr="00C95F33">
              <w:t xml:space="preserve">. </w:t>
            </w:r>
            <w:r w:rsidR="00750E82" w:rsidRPr="00C95F33">
              <w:t>These concern for example the purchasing of additional VIS equipment for consular posts, the (continued) employment</w:t>
            </w:r>
            <w:r w:rsidR="00412EEB" w:rsidRPr="00C95F33">
              <w:t xml:space="preserve"> of locally recruited ‘Document Verification Officers’ (DVO’s), etc.</w:t>
            </w:r>
            <w:r w:rsidR="00D34EB6" w:rsidRPr="00C95F33">
              <w:t xml:space="preserve"> This also has a significant impact on the milestone</w:t>
            </w:r>
            <w:r w:rsidR="00885736" w:rsidRPr="00C95F33">
              <w:t xml:space="preserve">s and targets set forward with regard to the </w:t>
            </w:r>
            <w:r w:rsidR="00D34EB6" w:rsidRPr="00C95F33">
              <w:t>SO2</w:t>
            </w:r>
            <w:r w:rsidR="00885736" w:rsidRPr="00C95F33">
              <w:t xml:space="preserve"> indicators</w:t>
            </w:r>
            <w:r w:rsidR="00D34EB6" w:rsidRPr="00C95F33">
              <w:t>.</w:t>
            </w:r>
            <w:r w:rsidR="00885736" w:rsidRPr="00C95F33">
              <w:t xml:space="preserve"> With the exception of O.2.1 (‘Number of projects supporting the digitalisation of visa processing’) and O.2.5 (‘Number of large-scale IT systems developed/maintained/upgraded’), all other</w:t>
            </w:r>
            <w:r w:rsidR="0099522D" w:rsidRPr="00C95F33">
              <w:t xml:space="preserve"> milestones and targets are no longer realistically achievable.</w:t>
            </w:r>
          </w:p>
          <w:p w14:paraId="2CB137E5" w14:textId="77777777" w:rsidR="00412EEB" w:rsidRPr="00C95F33" w:rsidRDefault="00D34EB6" w:rsidP="00885736">
            <w:pPr>
              <w:pStyle w:val="Institutionquisigne"/>
              <w:spacing w:before="100" w:beforeAutospacing="1"/>
            </w:pPr>
            <w:r w:rsidRPr="00C95F33">
              <w:t xml:space="preserve">At this point in time, it is unclear whether or not </w:t>
            </w:r>
            <w:r w:rsidR="0099522D" w:rsidRPr="00C95F33">
              <w:t>this situation (lack of interest from beneficiary) can / will be remedied in the future.</w:t>
            </w:r>
          </w:p>
          <w:p w14:paraId="4A92ACC2" w14:textId="02C3CD8C" w:rsidR="00C34840" w:rsidRPr="00C95F33" w:rsidRDefault="00C34840" w:rsidP="00C34840">
            <w:pPr>
              <w:pStyle w:val="Personnequisigne"/>
            </w:pPr>
          </w:p>
        </w:tc>
      </w:tr>
    </w:tbl>
    <w:p w14:paraId="5CB19AE6" w14:textId="30D8518B" w:rsidR="00AD502C" w:rsidRPr="00C95F33" w:rsidRDefault="00457D1B" w:rsidP="00457D1B">
      <w:pPr>
        <w:pStyle w:val="ManualHeading2"/>
        <w:rPr>
          <w:noProof/>
        </w:rPr>
      </w:pPr>
      <w:r w:rsidRPr="00C95F33">
        <w:lastRenderedPageBreak/>
        <w:t>1.3.</w:t>
      </w:r>
      <w:r w:rsidRPr="00C95F33">
        <w:tab/>
      </w:r>
      <w:r w:rsidR="00AD502C" w:rsidRPr="00C95F33">
        <w:rPr>
          <w:noProof/>
        </w:rPr>
        <w:t>Specific mitigation measures</w:t>
      </w:r>
    </w:p>
    <w:p w14:paraId="249049B1" w14:textId="405CCBE6" w:rsidR="00AD502C" w:rsidRPr="00C95F33" w:rsidRDefault="00AD502C" w:rsidP="00AD502C">
      <w:pPr>
        <w:rPr>
          <w:noProof/>
          <w:sz w:val="22"/>
        </w:rPr>
      </w:pPr>
      <w:r w:rsidRPr="00C95F33">
        <w:rPr>
          <w:b/>
          <w:noProof/>
          <w:sz w:val="22"/>
        </w:rPr>
        <w:t>If relevant</w:t>
      </w:r>
      <w:r w:rsidRPr="00C95F33">
        <w:rPr>
          <w:noProof/>
          <w:sz w:val="22"/>
        </w:rPr>
        <w:t xml:space="preserve">, describe </w:t>
      </w:r>
      <w:r w:rsidR="00A97818" w:rsidRPr="00C95F33">
        <w:rPr>
          <w:noProof/>
          <w:sz w:val="22"/>
        </w:rPr>
        <w:t xml:space="preserve">briefly </w:t>
      </w:r>
      <w:r w:rsidRPr="00C95F33">
        <w:rPr>
          <w:noProof/>
          <w:sz w:val="22"/>
        </w:rPr>
        <w:t>how the programme activities contributed to mitigating the effects of any</w:t>
      </w:r>
      <w:r w:rsidR="005A3D19" w:rsidRPr="00C95F33">
        <w:rPr>
          <w:noProof/>
          <w:sz w:val="22"/>
        </w:rPr>
        <w:t xml:space="preserve"> relevant and</w:t>
      </w:r>
      <w:r w:rsidRPr="00C95F33">
        <w:rPr>
          <w:noProof/>
          <w:sz w:val="22"/>
        </w:rPr>
        <w:t xml:space="preserve"> sudden changes in the pressure </w:t>
      </w:r>
      <w:r w:rsidR="00D65A42" w:rsidRPr="00C95F33">
        <w:rPr>
          <w:noProof/>
          <w:sz w:val="22"/>
        </w:rPr>
        <w:t>on the management of</w:t>
      </w:r>
      <w:r w:rsidR="00983335" w:rsidRPr="00C95F33">
        <w:rPr>
          <w:noProof/>
          <w:sz w:val="22"/>
        </w:rPr>
        <w:t xml:space="preserve"> </w:t>
      </w:r>
      <w:r w:rsidRPr="00C95F33">
        <w:rPr>
          <w:noProof/>
          <w:sz w:val="22"/>
        </w:rPr>
        <w:t>the external borders resulting from any unforeseen deterioration of the socio-economic or political situation in third countries</w:t>
      </w:r>
      <w:r w:rsidR="00D65A42" w:rsidRPr="00C95F33">
        <w:rPr>
          <w:noProof/>
          <w:sz w:val="22"/>
        </w:rPr>
        <w:t>, as appropriate</w:t>
      </w:r>
      <w:r w:rsidRPr="00C95F33">
        <w:rPr>
          <w:noProof/>
          <w:sz w:val="22"/>
        </w:rPr>
        <w:t xml:space="preserve">. Whenever possible, refer to the volume of resources redeployed for </w:t>
      </w:r>
      <w:r w:rsidR="009462A4" w:rsidRPr="00C95F33">
        <w:rPr>
          <w:noProof/>
          <w:sz w:val="22"/>
        </w:rPr>
        <w:t xml:space="preserve">this </w:t>
      </w:r>
      <w:r w:rsidRPr="00C95F33">
        <w:rPr>
          <w:noProof/>
          <w:sz w:val="22"/>
        </w:rPr>
        <w:t>purpose, and the related output</w:t>
      </w:r>
      <w:r w:rsidR="00B03A44" w:rsidRPr="00C95F33">
        <w:rPr>
          <w:noProof/>
          <w:sz w:val="22"/>
        </w:rPr>
        <w:t>s</w:t>
      </w:r>
      <w:r w:rsidRPr="00C95F33">
        <w:rPr>
          <w:noProof/>
          <w:sz w:val="22"/>
        </w:rPr>
        <w:t xml:space="preserve"> and results achieved. </w:t>
      </w:r>
    </w:p>
    <w:p w14:paraId="4E67C080" w14:textId="77777777" w:rsidR="00AD502C" w:rsidRPr="00C95F33" w:rsidRDefault="00AD502C" w:rsidP="00AD502C">
      <w:pPr>
        <w:rPr>
          <w:noProof/>
          <w:sz w:val="22"/>
        </w:rPr>
      </w:pPr>
      <w:r w:rsidRPr="00C95F33">
        <w:rPr>
          <w:noProof/>
          <w:sz w:val="22"/>
        </w:rPr>
        <w:t>Pay specific attention to activities carried out to mitigate the effects of such sudden changes and whose achievements may not be fully captured by the common output and result indicators.</w:t>
      </w:r>
    </w:p>
    <w:tbl>
      <w:tblPr>
        <w:tblStyle w:val="Grilledutableau"/>
        <w:tblW w:w="0" w:type="auto"/>
        <w:tblLook w:val="04A0" w:firstRow="1" w:lastRow="0" w:firstColumn="1" w:lastColumn="0" w:noHBand="0" w:noVBand="1"/>
      </w:tblPr>
      <w:tblGrid>
        <w:gridCol w:w="9289"/>
      </w:tblGrid>
      <w:tr w:rsidR="00C95F33" w:rsidRPr="00C95F33" w14:paraId="1EEEC59C" w14:textId="77777777" w:rsidTr="00E45665">
        <w:tc>
          <w:tcPr>
            <w:tcW w:w="9289" w:type="dxa"/>
          </w:tcPr>
          <w:p w14:paraId="7D50C6FD" w14:textId="6BB2FBC6" w:rsidR="00AD502C" w:rsidRPr="00C95F33" w:rsidRDefault="00E86B00" w:rsidP="005A3D19">
            <w:pPr>
              <w:pStyle w:val="Personnequisigne"/>
              <w:rPr>
                <w:noProof/>
              </w:rPr>
            </w:pPr>
            <w:r w:rsidRPr="00C95F33">
              <w:rPr>
                <w:noProof/>
                <w:sz w:val="22"/>
              </w:rPr>
              <w:t>Not applicable.</w:t>
            </w:r>
          </w:p>
        </w:tc>
      </w:tr>
    </w:tbl>
    <w:p w14:paraId="491FA226" w14:textId="0F32F471" w:rsidR="00AD502C" w:rsidRPr="00C95F33" w:rsidRDefault="00457D1B" w:rsidP="00457D1B">
      <w:pPr>
        <w:pStyle w:val="ManualHeading2"/>
        <w:rPr>
          <w:noProof/>
        </w:rPr>
      </w:pPr>
      <w:r w:rsidRPr="00C95F33">
        <w:t>1.4.</w:t>
      </w:r>
      <w:r w:rsidRPr="00C95F33">
        <w:tab/>
      </w:r>
      <w:r w:rsidR="00AD502C" w:rsidRPr="00C95F33">
        <w:rPr>
          <w:noProof/>
        </w:rPr>
        <w:t>Operating support –</w:t>
      </w:r>
      <w:r w:rsidR="00DB17CF" w:rsidRPr="00C95F33">
        <w:rPr>
          <w:noProof/>
        </w:rPr>
        <w:t xml:space="preserve"> </w:t>
      </w:r>
      <w:r w:rsidR="00561E3E" w:rsidRPr="00C95F33">
        <w:rPr>
          <w:noProof/>
        </w:rPr>
        <w:t>A</w:t>
      </w:r>
      <w:r w:rsidR="00AD502C" w:rsidRPr="00C95F33">
        <w:rPr>
          <w:noProof/>
        </w:rPr>
        <w:t>rticle 16(3) of Regulation (EU) 2021/1148</w:t>
      </w:r>
    </w:p>
    <w:p w14:paraId="5F369D3B" w14:textId="2A9CF050" w:rsidR="00AD502C" w:rsidRPr="00C95F33" w:rsidRDefault="00C62604" w:rsidP="00804A12">
      <w:pPr>
        <w:rPr>
          <w:noProof/>
          <w:sz w:val="22"/>
        </w:rPr>
      </w:pPr>
      <w:r w:rsidRPr="00C95F33">
        <w:rPr>
          <w:noProof/>
          <w:sz w:val="22"/>
        </w:rPr>
        <w:t xml:space="preserve">If </w:t>
      </w:r>
      <w:r w:rsidR="00AD502C" w:rsidRPr="00C95F33">
        <w:rPr>
          <w:noProof/>
          <w:sz w:val="22"/>
        </w:rPr>
        <w:t xml:space="preserve">operating support </w:t>
      </w:r>
      <w:r w:rsidR="00831111" w:rsidRPr="00C95F33">
        <w:rPr>
          <w:noProof/>
          <w:sz w:val="22"/>
        </w:rPr>
        <w:t xml:space="preserve">was </w:t>
      </w:r>
      <w:r w:rsidR="00AD502C" w:rsidRPr="00C95F33">
        <w:rPr>
          <w:noProof/>
          <w:sz w:val="22"/>
        </w:rPr>
        <w:t>used during the accounting year, describe how it contribute</w:t>
      </w:r>
      <w:r w:rsidR="00831111" w:rsidRPr="00C95F33">
        <w:rPr>
          <w:noProof/>
          <w:sz w:val="22"/>
        </w:rPr>
        <w:t>d</w:t>
      </w:r>
      <w:r w:rsidR="00AD502C" w:rsidRPr="00C95F33">
        <w:rPr>
          <w:noProof/>
          <w:sz w:val="22"/>
        </w:rPr>
        <w:t xml:space="preserve"> to </w:t>
      </w:r>
      <w:r w:rsidR="003B616F" w:rsidRPr="00C95F33">
        <w:rPr>
          <w:noProof/>
          <w:sz w:val="22"/>
        </w:rPr>
        <w:t>achieving</w:t>
      </w:r>
      <w:r w:rsidR="00AD502C" w:rsidRPr="00C95F33">
        <w:rPr>
          <w:noProof/>
          <w:sz w:val="22"/>
        </w:rPr>
        <w:t xml:space="preserve"> the objectives of the </w:t>
      </w:r>
      <w:r w:rsidR="00623FB7" w:rsidRPr="00C95F33">
        <w:rPr>
          <w:noProof/>
          <w:sz w:val="22"/>
        </w:rPr>
        <w:t>Instrument</w:t>
      </w:r>
      <w:r w:rsidR="00AD502C" w:rsidRPr="00C95F33">
        <w:rPr>
          <w:noProof/>
          <w:sz w:val="22"/>
        </w:rPr>
        <w:t>.</w:t>
      </w:r>
      <w:r w:rsidR="005A3D19" w:rsidRPr="00C95F33">
        <w:rPr>
          <w:rStyle w:val="Appelnotedebasdep"/>
          <w:noProof/>
          <w:sz w:val="22"/>
        </w:rPr>
        <w:footnoteReference w:id="7"/>
      </w:r>
      <w:r w:rsidR="00AD502C" w:rsidRPr="00C95F33">
        <w:rPr>
          <w:noProof/>
          <w:sz w:val="22"/>
        </w:rPr>
        <w:t xml:space="preserve"> </w:t>
      </w:r>
    </w:p>
    <w:p w14:paraId="4D3AC5F6" w14:textId="0239E1EF" w:rsidR="00AD502C" w:rsidRPr="00C95F33" w:rsidRDefault="0053671E" w:rsidP="00AD502C">
      <w:pPr>
        <w:rPr>
          <w:noProof/>
          <w:sz w:val="22"/>
        </w:rPr>
      </w:pPr>
      <w:r w:rsidRPr="00C95F33">
        <w:rPr>
          <w:noProof/>
          <w:sz w:val="22"/>
        </w:rPr>
        <w:lastRenderedPageBreak/>
        <w:t>C</w:t>
      </w:r>
      <w:r w:rsidR="00AD502C" w:rsidRPr="00C95F33">
        <w:rPr>
          <w:noProof/>
          <w:sz w:val="22"/>
        </w:rPr>
        <w:t xml:space="preserve">larify if operating support </w:t>
      </w:r>
      <w:r w:rsidR="003B616F" w:rsidRPr="00C95F33">
        <w:rPr>
          <w:noProof/>
          <w:sz w:val="22"/>
        </w:rPr>
        <w:t xml:space="preserve">was </w:t>
      </w:r>
      <w:r w:rsidR="00AD502C" w:rsidRPr="00C95F33">
        <w:rPr>
          <w:noProof/>
          <w:sz w:val="22"/>
        </w:rPr>
        <w:t xml:space="preserve">used </w:t>
      </w:r>
      <w:r w:rsidR="00D65A42" w:rsidRPr="00C95F33">
        <w:rPr>
          <w:noProof/>
          <w:sz w:val="22"/>
        </w:rPr>
        <w:t xml:space="preserve">for </w:t>
      </w:r>
      <w:r w:rsidR="00AD502C" w:rsidRPr="00C95F33">
        <w:rPr>
          <w:noProof/>
          <w:sz w:val="22"/>
        </w:rPr>
        <w:t xml:space="preserve">the operation and maintenance of large-scale IT systems, including </w:t>
      </w:r>
      <w:r w:rsidR="00F3358C" w:rsidRPr="00C95F33">
        <w:rPr>
          <w:noProof/>
          <w:sz w:val="22"/>
        </w:rPr>
        <w:t>the European Travel Information and Authorisation System (</w:t>
      </w:r>
      <w:r w:rsidR="00AD502C" w:rsidRPr="00C95F33">
        <w:rPr>
          <w:noProof/>
          <w:sz w:val="22"/>
        </w:rPr>
        <w:t>ETIAS</w:t>
      </w:r>
      <w:r w:rsidR="00F3358C" w:rsidRPr="00C95F33">
        <w:rPr>
          <w:noProof/>
          <w:sz w:val="22"/>
        </w:rPr>
        <w:t>)</w:t>
      </w:r>
      <w:r w:rsidR="00AD502C" w:rsidRPr="00C95F33">
        <w:rPr>
          <w:noProof/>
          <w:sz w:val="22"/>
        </w:rPr>
        <w:t xml:space="preserve">. </w:t>
      </w:r>
    </w:p>
    <w:p w14:paraId="62C94CED" w14:textId="2041C1D8" w:rsidR="00AD502C" w:rsidRPr="00C95F33" w:rsidRDefault="00A148D3" w:rsidP="00AD502C">
      <w:pPr>
        <w:rPr>
          <w:noProof/>
          <w:sz w:val="22"/>
        </w:rPr>
      </w:pPr>
      <w:r w:rsidRPr="00C95F33">
        <w:rPr>
          <w:noProof/>
          <w:sz w:val="22"/>
        </w:rPr>
        <w:t>If the total cumulative eligible cost of operating support for the operations selected for support exceeds 33% of the total programme allocation at the end of the accounting year, explain the reasons. Additionally, if there is a risk that the threshold is exceeded by the end of the programming period, describe the measures envisaged to mitigate it.</w:t>
      </w:r>
    </w:p>
    <w:tbl>
      <w:tblPr>
        <w:tblStyle w:val="Grilledutableau"/>
        <w:tblW w:w="0" w:type="auto"/>
        <w:tblLook w:val="04A0" w:firstRow="1" w:lastRow="0" w:firstColumn="1" w:lastColumn="0" w:noHBand="0" w:noVBand="1"/>
      </w:tblPr>
      <w:tblGrid>
        <w:gridCol w:w="9289"/>
      </w:tblGrid>
      <w:tr w:rsidR="00C95F33" w:rsidRPr="00C95F33" w14:paraId="0C0C6E9A" w14:textId="77777777" w:rsidTr="00E45665">
        <w:tc>
          <w:tcPr>
            <w:tcW w:w="9289" w:type="dxa"/>
          </w:tcPr>
          <w:p w14:paraId="5908D76A" w14:textId="21515B8E" w:rsidR="00AD502C" w:rsidRPr="00C95F33" w:rsidRDefault="0040753E" w:rsidP="00700235">
            <w:pPr>
              <w:pStyle w:val="Personnequisigne"/>
              <w:spacing w:before="100" w:beforeAutospacing="1" w:after="100" w:afterAutospacing="1"/>
              <w:jc w:val="both"/>
              <w:rPr>
                <w:noProof/>
                <w:szCs w:val="24"/>
              </w:rPr>
            </w:pPr>
            <w:r w:rsidRPr="00C95F33">
              <w:rPr>
                <w:noProof/>
                <w:szCs w:val="24"/>
              </w:rPr>
              <w:t xml:space="preserve">Under the BMVI, operating support was used to finance 1 project (titled ‘EU Message Broker Staff’) at 100 %. </w:t>
            </w:r>
            <w:r w:rsidR="00C01781" w:rsidRPr="00C95F33">
              <w:rPr>
                <w:noProof/>
                <w:szCs w:val="24"/>
              </w:rPr>
              <w:t>The total project budget amounts to € 2.100.000,00.</w:t>
            </w:r>
            <w:r w:rsidR="00B14B77" w:rsidRPr="00C95F33">
              <w:rPr>
                <w:noProof/>
                <w:szCs w:val="24"/>
              </w:rPr>
              <w:t xml:space="preserve"> The aim of the project is to provide support for the setting-up of the different IT-systems required for the implementation of the EU legal instruments in the field of border management &amp; visa.</w:t>
            </w:r>
            <w:r w:rsidR="00700235" w:rsidRPr="00C95F33">
              <w:rPr>
                <w:noProof/>
                <w:szCs w:val="24"/>
              </w:rPr>
              <w:t xml:space="preserve"> More concretely, the project provides the</w:t>
            </w:r>
            <w:r w:rsidR="00700235" w:rsidRPr="00C95F33">
              <w:t xml:space="preserve"> necessary f</w:t>
            </w:r>
            <w:r w:rsidR="00700235" w:rsidRPr="00C95F33">
              <w:rPr>
                <w:noProof/>
                <w:szCs w:val="24"/>
              </w:rPr>
              <w:t xml:space="preserve">inancial support for the functioning of a team of internal staff members responsible for the implementation, monitoring and maintainance of the systems that are connected to the central European components via the Message Broker. The project </w:t>
            </w:r>
            <w:r w:rsidR="00F614ED" w:rsidRPr="00C95F33">
              <w:rPr>
                <w:noProof/>
                <w:szCs w:val="24"/>
              </w:rPr>
              <w:t xml:space="preserve">also </w:t>
            </w:r>
            <w:r w:rsidR="00700235" w:rsidRPr="00C95F33">
              <w:rPr>
                <w:noProof/>
                <w:szCs w:val="24"/>
              </w:rPr>
              <w:t xml:space="preserve">complements </w:t>
            </w:r>
            <w:r w:rsidR="00F614ED" w:rsidRPr="00C95F33">
              <w:rPr>
                <w:noProof/>
                <w:szCs w:val="24"/>
              </w:rPr>
              <w:t xml:space="preserve">another </w:t>
            </w:r>
            <w:r w:rsidR="00700235" w:rsidRPr="00C95F33">
              <w:rPr>
                <w:noProof/>
                <w:szCs w:val="24"/>
              </w:rPr>
              <w:t xml:space="preserve">project </w:t>
            </w:r>
            <w:r w:rsidR="00F614ED" w:rsidRPr="00C95F33">
              <w:rPr>
                <w:noProof/>
                <w:szCs w:val="24"/>
              </w:rPr>
              <w:t>titled ‘</w:t>
            </w:r>
            <w:r w:rsidR="00700235" w:rsidRPr="00C95F33">
              <w:rPr>
                <w:noProof/>
                <w:szCs w:val="24"/>
              </w:rPr>
              <w:t>EU Message Broker Subcontracting'</w:t>
            </w:r>
            <w:r w:rsidR="00F614ED" w:rsidRPr="00C95F33">
              <w:rPr>
                <w:noProof/>
                <w:szCs w:val="24"/>
              </w:rPr>
              <w:t>)</w:t>
            </w:r>
            <w:r w:rsidR="00A91199" w:rsidRPr="00C95F33">
              <w:rPr>
                <w:noProof/>
                <w:szCs w:val="24"/>
              </w:rPr>
              <w:t xml:space="preserve">, which focuses on acquiring the necessary external IT-consultancy needed to achieve the above-mentioned objectives. </w:t>
            </w:r>
          </w:p>
          <w:p w14:paraId="71E6B0F4" w14:textId="57A7CE1E" w:rsidR="00F10FC9" w:rsidRPr="00C95F33" w:rsidRDefault="00F10FC9" w:rsidP="004300B0">
            <w:pPr>
              <w:pStyle w:val="Institutionquisigne"/>
              <w:spacing w:before="0"/>
            </w:pPr>
            <w:r w:rsidRPr="00C95F33">
              <w:t xml:space="preserve">At a ratio of </w:t>
            </w:r>
            <w:r w:rsidR="004300B0" w:rsidRPr="00C95F33">
              <w:t>8,77</w:t>
            </w:r>
            <w:r w:rsidRPr="00C95F33">
              <w:t xml:space="preserve"> % (€ 2.100.000 </w:t>
            </w:r>
            <w:r w:rsidR="00965714" w:rsidRPr="00C95F33">
              <w:t xml:space="preserve">allocated to operating support projects </w:t>
            </w:r>
            <w:r w:rsidRPr="00C95F33">
              <w:t xml:space="preserve">/ </w:t>
            </w:r>
            <w:r w:rsidR="00965714" w:rsidRPr="00C95F33">
              <w:t>€ 23.948.539,29 total allocated EU subsidy amount (i.e. € 20.615.205,95 under SO 1 and € 3.333.333,34 under SO 2)</w:t>
            </w:r>
            <w:r w:rsidR="00283385" w:rsidRPr="00C95F33">
              <w:t xml:space="preserve">, the potential total cumulative eligible cost of operating support does </w:t>
            </w:r>
            <w:r w:rsidR="00283385" w:rsidRPr="00C95F33">
              <w:rPr>
                <w:u w:val="single"/>
              </w:rPr>
              <w:t>not</w:t>
            </w:r>
            <w:r w:rsidR="00283385" w:rsidRPr="00C95F33">
              <w:t xml:space="preserve"> exceed the </w:t>
            </w:r>
            <w:r w:rsidR="004300B0" w:rsidRPr="00C95F33">
              <w:t xml:space="preserve">above-mentioned threshold of </w:t>
            </w:r>
            <w:r w:rsidR="00283385" w:rsidRPr="00C95F33">
              <w:t>33% of the total programme allocation</w:t>
            </w:r>
            <w:r w:rsidR="004300B0" w:rsidRPr="00C95F33">
              <w:t>.</w:t>
            </w:r>
          </w:p>
          <w:p w14:paraId="300685E7" w14:textId="461B4D09" w:rsidR="00547CE8" w:rsidRPr="00C95F33" w:rsidRDefault="005B2829" w:rsidP="004300B0">
            <w:pPr>
              <w:pStyle w:val="Institutionquisigne"/>
              <w:spacing w:before="100" w:beforeAutospacing="1"/>
              <w:rPr>
                <w:szCs w:val="24"/>
              </w:rPr>
            </w:pPr>
            <w:r w:rsidRPr="00C95F33">
              <w:rPr>
                <w:szCs w:val="24"/>
              </w:rPr>
              <w:t>Currently, there is no risk that the 33% threshold is exceeded by the end of the programming period. Hence, no mitigating measures are need</w:t>
            </w:r>
            <w:r w:rsidR="00C34840" w:rsidRPr="00C95F33">
              <w:rPr>
                <w:szCs w:val="24"/>
              </w:rPr>
              <w:t>ed</w:t>
            </w:r>
            <w:r w:rsidRPr="00C95F33">
              <w:rPr>
                <w:szCs w:val="24"/>
              </w:rPr>
              <w:t xml:space="preserve"> / envisaged.</w:t>
            </w:r>
          </w:p>
          <w:p w14:paraId="5F9902C7" w14:textId="49E34CCF" w:rsidR="004300B0" w:rsidRPr="00C95F33" w:rsidRDefault="004300B0" w:rsidP="004300B0">
            <w:pPr>
              <w:pStyle w:val="Personnequisigne"/>
            </w:pPr>
          </w:p>
        </w:tc>
      </w:tr>
    </w:tbl>
    <w:p w14:paraId="53FBC969" w14:textId="32D77868" w:rsidR="00AD502C" w:rsidRPr="00C95F33" w:rsidRDefault="00457D1B" w:rsidP="00457D1B">
      <w:pPr>
        <w:pStyle w:val="ManualHeading2"/>
        <w:rPr>
          <w:noProof/>
        </w:rPr>
      </w:pPr>
      <w:r w:rsidRPr="00C95F33">
        <w:t>1.5.</w:t>
      </w:r>
      <w:r w:rsidRPr="00C95F33">
        <w:tab/>
      </w:r>
      <w:r w:rsidR="00AD502C" w:rsidRPr="00C95F33">
        <w:rPr>
          <w:noProof/>
        </w:rPr>
        <w:t xml:space="preserve">Specific </w:t>
      </w:r>
      <w:r w:rsidR="003A6A89" w:rsidRPr="00C95F33">
        <w:rPr>
          <w:noProof/>
        </w:rPr>
        <w:t>a</w:t>
      </w:r>
      <w:r w:rsidR="00AD502C" w:rsidRPr="00C95F33">
        <w:rPr>
          <w:noProof/>
        </w:rPr>
        <w:t>ctions</w:t>
      </w:r>
      <w:r w:rsidR="009F716C" w:rsidRPr="00C95F33">
        <w:rPr>
          <w:rStyle w:val="Appelnotedebasdep"/>
          <w:noProof/>
        </w:rPr>
        <w:footnoteReference w:id="8"/>
      </w:r>
      <w:r w:rsidR="00AD502C" w:rsidRPr="00C95F33">
        <w:rPr>
          <w:noProof/>
        </w:rPr>
        <w:t xml:space="preserve"> </w:t>
      </w:r>
    </w:p>
    <w:p w14:paraId="7D6A9536" w14:textId="2664A088" w:rsidR="00AD502C" w:rsidRPr="00C95F33" w:rsidRDefault="00BC5F3E" w:rsidP="00AD502C">
      <w:pPr>
        <w:rPr>
          <w:noProof/>
          <w:sz w:val="22"/>
        </w:rPr>
      </w:pPr>
      <w:r w:rsidRPr="00C95F33">
        <w:rPr>
          <w:noProof/>
          <w:sz w:val="22"/>
        </w:rPr>
        <w:t>D</w:t>
      </w:r>
      <w:r w:rsidR="00AD502C" w:rsidRPr="00C95F33">
        <w:rPr>
          <w:noProof/>
          <w:sz w:val="22"/>
        </w:rPr>
        <w:t>escribe the main achievements of any specific action</w:t>
      </w:r>
      <w:r w:rsidR="00347EE8" w:rsidRPr="00C95F33">
        <w:rPr>
          <w:noProof/>
          <w:sz w:val="22"/>
        </w:rPr>
        <w:t>s</w:t>
      </w:r>
      <w:r w:rsidR="00AD502C" w:rsidRPr="00C95F33">
        <w:rPr>
          <w:noProof/>
          <w:sz w:val="22"/>
        </w:rPr>
        <w:t xml:space="preserve"> </w:t>
      </w:r>
      <w:r w:rsidR="00D2663D" w:rsidRPr="00C95F33">
        <w:rPr>
          <w:noProof/>
          <w:sz w:val="22"/>
        </w:rPr>
        <w:t xml:space="preserve">carried out </w:t>
      </w:r>
      <w:r w:rsidR="00AD502C" w:rsidRPr="00C95F33">
        <w:rPr>
          <w:noProof/>
          <w:sz w:val="22"/>
        </w:rPr>
        <w:t>during the accounting year, and how they contribute</w:t>
      </w:r>
      <w:r w:rsidR="003E36B0" w:rsidRPr="00C95F33">
        <w:rPr>
          <w:noProof/>
          <w:sz w:val="22"/>
        </w:rPr>
        <w:t>d</w:t>
      </w:r>
      <w:r w:rsidR="00AD502C" w:rsidRPr="00C95F33">
        <w:rPr>
          <w:noProof/>
          <w:sz w:val="22"/>
        </w:rPr>
        <w:t xml:space="preserve"> to </w:t>
      </w:r>
      <w:r w:rsidR="001E3E4B" w:rsidRPr="00C95F33">
        <w:rPr>
          <w:noProof/>
          <w:sz w:val="22"/>
        </w:rPr>
        <w:t xml:space="preserve">achieving the objectives of the programme and </w:t>
      </w:r>
      <w:r w:rsidR="00AD502C" w:rsidRPr="00C95F33">
        <w:rPr>
          <w:noProof/>
          <w:sz w:val="22"/>
        </w:rPr>
        <w:t xml:space="preserve">generating </w:t>
      </w:r>
      <w:r w:rsidR="00B52073" w:rsidRPr="00C95F33">
        <w:rPr>
          <w:noProof/>
          <w:sz w:val="22"/>
        </w:rPr>
        <w:t xml:space="preserve">Union </w:t>
      </w:r>
      <w:r w:rsidR="00AD502C" w:rsidRPr="00C95F33">
        <w:rPr>
          <w:noProof/>
          <w:sz w:val="22"/>
        </w:rPr>
        <w:t>added value</w:t>
      </w:r>
      <w:r w:rsidR="00AE5AA2" w:rsidRPr="00C95F33">
        <w:rPr>
          <w:noProof/>
          <w:sz w:val="22"/>
        </w:rPr>
        <w:t>.</w:t>
      </w:r>
      <w:r w:rsidR="0053671E" w:rsidRPr="00C95F33">
        <w:rPr>
          <w:rStyle w:val="Appelnotedebasdep"/>
          <w:noProof/>
          <w:sz w:val="22"/>
        </w:rPr>
        <w:footnoteReference w:id="9"/>
      </w:r>
      <w:r w:rsidR="00AD502C" w:rsidRPr="00C95F33">
        <w:rPr>
          <w:noProof/>
          <w:sz w:val="22"/>
        </w:rPr>
        <w:t xml:space="preserve">  </w:t>
      </w:r>
    </w:p>
    <w:p w14:paraId="0D7A619F" w14:textId="77777777" w:rsidR="00E45982" w:rsidRPr="00C95F33" w:rsidRDefault="00BC5F3E" w:rsidP="00AD502C">
      <w:pPr>
        <w:rPr>
          <w:noProof/>
          <w:sz w:val="22"/>
        </w:rPr>
      </w:pPr>
      <w:r w:rsidRPr="00C95F33">
        <w:rPr>
          <w:noProof/>
          <w:sz w:val="22"/>
        </w:rPr>
        <w:t>D</w:t>
      </w:r>
      <w:r w:rsidR="00545857" w:rsidRPr="00C95F33">
        <w:rPr>
          <w:noProof/>
          <w:sz w:val="22"/>
        </w:rPr>
        <w:t>escribe how the individual actions have advanced, both</w:t>
      </w:r>
      <w:r w:rsidR="0053671E" w:rsidRPr="00C95F33">
        <w:rPr>
          <w:noProof/>
          <w:sz w:val="22"/>
        </w:rPr>
        <w:t xml:space="preserve"> procedurally</w:t>
      </w:r>
      <w:r w:rsidR="0053671E" w:rsidRPr="00C95F33">
        <w:rPr>
          <w:rStyle w:val="Appelnotedebasdep"/>
          <w:noProof/>
          <w:sz w:val="22"/>
        </w:rPr>
        <w:footnoteReference w:id="10"/>
      </w:r>
      <w:r w:rsidR="00545857" w:rsidRPr="00C95F33">
        <w:rPr>
          <w:noProof/>
          <w:sz w:val="22"/>
        </w:rPr>
        <w:t xml:space="preserve"> and </w:t>
      </w:r>
      <w:r w:rsidR="0053671E" w:rsidRPr="00C95F33">
        <w:rPr>
          <w:noProof/>
          <w:sz w:val="22"/>
        </w:rPr>
        <w:t>operationally</w:t>
      </w:r>
      <w:r w:rsidR="0053671E" w:rsidRPr="00C95F33">
        <w:rPr>
          <w:rStyle w:val="Appelnotedebasdep"/>
          <w:noProof/>
          <w:sz w:val="22"/>
        </w:rPr>
        <w:footnoteReference w:id="11"/>
      </w:r>
      <w:r w:rsidR="00545857" w:rsidRPr="00C95F33">
        <w:rPr>
          <w:noProof/>
          <w:sz w:val="22"/>
        </w:rPr>
        <w:t>, and highlight any issues affecting their performance, in particular any risk of underspending.</w:t>
      </w:r>
      <w:r w:rsidR="00AD502C" w:rsidRPr="00C95F33">
        <w:rPr>
          <w:noProof/>
          <w:sz w:val="22"/>
        </w:rPr>
        <w:t xml:space="preserve"> </w:t>
      </w:r>
    </w:p>
    <w:p w14:paraId="7CEB312C" w14:textId="5D908CE7" w:rsidR="00AD502C" w:rsidRPr="00C95F33" w:rsidRDefault="00AD502C" w:rsidP="00AD502C">
      <w:pPr>
        <w:rPr>
          <w:noProof/>
        </w:rPr>
      </w:pPr>
      <w:r w:rsidRPr="00C95F33">
        <w:rPr>
          <w:noProof/>
          <w:sz w:val="22"/>
        </w:rPr>
        <w:t xml:space="preserve">If relevant, </w:t>
      </w:r>
      <w:r w:rsidR="00545857" w:rsidRPr="00C95F33">
        <w:rPr>
          <w:noProof/>
          <w:sz w:val="22"/>
        </w:rPr>
        <w:t>break this</w:t>
      </w:r>
      <w:r w:rsidRPr="00C95F33">
        <w:rPr>
          <w:noProof/>
          <w:sz w:val="22"/>
        </w:rPr>
        <w:t xml:space="preserve"> information </w:t>
      </w:r>
      <w:r w:rsidR="00545857" w:rsidRPr="00C95F33">
        <w:rPr>
          <w:noProof/>
          <w:sz w:val="22"/>
        </w:rPr>
        <w:t xml:space="preserve">down to </w:t>
      </w:r>
      <w:r w:rsidRPr="00C95F33">
        <w:rPr>
          <w:noProof/>
          <w:sz w:val="22"/>
        </w:rPr>
        <w:t xml:space="preserve">the project level. </w:t>
      </w:r>
      <w:r w:rsidR="00C62604" w:rsidRPr="00C95F33">
        <w:rPr>
          <w:noProof/>
          <w:sz w:val="22"/>
        </w:rPr>
        <w:t xml:space="preserve">If </w:t>
      </w:r>
      <w:r w:rsidRPr="00C95F33">
        <w:rPr>
          <w:noProof/>
          <w:sz w:val="22"/>
        </w:rPr>
        <w:t>a</w:t>
      </w:r>
      <w:r w:rsidR="00545857" w:rsidRPr="00C95F33">
        <w:rPr>
          <w:noProof/>
          <w:sz w:val="22"/>
        </w:rPr>
        <w:t>ny</w:t>
      </w:r>
      <w:r w:rsidRPr="00C95F33">
        <w:rPr>
          <w:noProof/>
          <w:sz w:val="22"/>
        </w:rPr>
        <w:t xml:space="preserve"> deviation from the original planning is expected, </w:t>
      </w:r>
      <w:r w:rsidR="00545857" w:rsidRPr="00C95F33">
        <w:rPr>
          <w:noProof/>
          <w:sz w:val="22"/>
        </w:rPr>
        <w:t xml:space="preserve">explain </w:t>
      </w:r>
      <w:r w:rsidRPr="00C95F33">
        <w:rPr>
          <w:noProof/>
          <w:sz w:val="22"/>
        </w:rPr>
        <w:t>the reason</w:t>
      </w:r>
      <w:r w:rsidR="00C56E81" w:rsidRPr="00C95F33">
        <w:rPr>
          <w:noProof/>
          <w:sz w:val="22"/>
        </w:rPr>
        <w:t>s</w:t>
      </w:r>
      <w:r w:rsidRPr="00C95F33">
        <w:rPr>
          <w:noProof/>
          <w:sz w:val="22"/>
        </w:rPr>
        <w:t xml:space="preserve"> for </w:t>
      </w:r>
      <w:r w:rsidR="00545857" w:rsidRPr="00C95F33">
        <w:rPr>
          <w:noProof/>
          <w:sz w:val="22"/>
        </w:rPr>
        <w:t>this, describe</w:t>
      </w:r>
      <w:r w:rsidRPr="00C95F33">
        <w:rPr>
          <w:noProof/>
          <w:sz w:val="22"/>
        </w:rPr>
        <w:t xml:space="preserve"> any mitigating actions taken</w:t>
      </w:r>
      <w:r w:rsidR="00545857" w:rsidRPr="00C95F33">
        <w:rPr>
          <w:noProof/>
          <w:sz w:val="22"/>
        </w:rPr>
        <w:t>,</w:t>
      </w:r>
      <w:r w:rsidRPr="00C95F33">
        <w:rPr>
          <w:noProof/>
          <w:sz w:val="22"/>
        </w:rPr>
        <w:t xml:space="preserve"> and </w:t>
      </w:r>
      <w:r w:rsidR="00545857" w:rsidRPr="00C95F33">
        <w:rPr>
          <w:noProof/>
          <w:sz w:val="22"/>
        </w:rPr>
        <w:t xml:space="preserve">provide </w:t>
      </w:r>
      <w:r w:rsidRPr="00C95F33">
        <w:rPr>
          <w:noProof/>
          <w:sz w:val="22"/>
        </w:rPr>
        <w:t>the revised timetable.</w:t>
      </w:r>
    </w:p>
    <w:tbl>
      <w:tblPr>
        <w:tblStyle w:val="Grilledutableau"/>
        <w:tblW w:w="0" w:type="auto"/>
        <w:tblLook w:val="04A0" w:firstRow="1" w:lastRow="0" w:firstColumn="1" w:lastColumn="0" w:noHBand="0" w:noVBand="1"/>
      </w:tblPr>
      <w:tblGrid>
        <w:gridCol w:w="9289"/>
      </w:tblGrid>
      <w:tr w:rsidR="00C95F33" w:rsidRPr="00C95F33" w14:paraId="2219E2DB" w14:textId="77777777" w:rsidTr="00E45665">
        <w:tc>
          <w:tcPr>
            <w:tcW w:w="9289" w:type="dxa"/>
          </w:tcPr>
          <w:p w14:paraId="01678B09" w14:textId="77777777" w:rsidR="006332AF" w:rsidRPr="00C95F33" w:rsidRDefault="006332AF" w:rsidP="00624C98">
            <w:pPr>
              <w:pStyle w:val="Personnequisigne"/>
              <w:jc w:val="both"/>
              <w:rPr>
                <w:noProof/>
              </w:rPr>
            </w:pPr>
            <w:r w:rsidRPr="00C95F33">
              <w:rPr>
                <w:noProof/>
              </w:rPr>
              <w:t>No specific actions were carried out in the reference period.</w:t>
            </w:r>
          </w:p>
          <w:p w14:paraId="42DA9FC0" w14:textId="4F8D31A9" w:rsidR="006332AF" w:rsidRPr="00C95F33" w:rsidRDefault="006332AF" w:rsidP="00624C98">
            <w:pPr>
              <w:pStyle w:val="Personnequisigne"/>
              <w:jc w:val="both"/>
              <w:rPr>
                <w:noProof/>
              </w:rPr>
            </w:pPr>
          </w:p>
          <w:p w14:paraId="7B2AF5F7" w14:textId="51B25E5B" w:rsidR="00C01781" w:rsidRPr="00C95F33" w:rsidRDefault="00C01781" w:rsidP="00624C98">
            <w:pPr>
              <w:pStyle w:val="Personnequisigne"/>
              <w:jc w:val="both"/>
            </w:pPr>
            <w:r w:rsidRPr="00C95F33">
              <w:rPr>
                <w:noProof/>
              </w:rPr>
              <w:lastRenderedPageBreak/>
              <w:t xml:space="preserve">As mentioned under point 1.1, two </w:t>
            </w:r>
            <w:r w:rsidRPr="00C95F33">
              <w:t xml:space="preserve">additional projects </w:t>
            </w:r>
            <w:r w:rsidR="00CF5386" w:rsidRPr="00C95F33">
              <w:t>–</w:t>
            </w:r>
            <w:r w:rsidRPr="00C95F33">
              <w:t xml:space="preserve"> </w:t>
            </w:r>
            <w:r w:rsidR="00CF5386" w:rsidRPr="00C95F33">
              <w:t xml:space="preserve">were </w:t>
            </w:r>
            <w:r w:rsidRPr="00C95F33">
              <w:t>awarded funding in the context of the 'Interoperability' top-up / Specific Action</w:t>
            </w:r>
            <w:r w:rsidR="00CF5386" w:rsidRPr="00C95F33">
              <w:t>. However, these</w:t>
            </w:r>
            <w:r w:rsidRPr="00C95F33">
              <w:t xml:space="preserve"> were selected only after the cut-off date</w:t>
            </w:r>
            <w:r w:rsidR="00CF5386" w:rsidRPr="00C95F33">
              <w:t xml:space="preserve"> for the current APR reporting period</w:t>
            </w:r>
            <w:r w:rsidRPr="00C95F33">
              <w:t xml:space="preserve"> (i.e. on 04/07/2023) and will </w:t>
            </w:r>
            <w:r w:rsidR="00CF5386" w:rsidRPr="00C95F33">
              <w:t xml:space="preserve">hence </w:t>
            </w:r>
            <w:r w:rsidRPr="00C95F33">
              <w:t>be reported in the next APR.</w:t>
            </w:r>
          </w:p>
          <w:p w14:paraId="65CA6F3A" w14:textId="7DB3F0D4" w:rsidR="00C34840" w:rsidRPr="00C95F33" w:rsidRDefault="00C34840" w:rsidP="00C34840">
            <w:pPr>
              <w:pStyle w:val="Institutionquisigne"/>
              <w:spacing w:before="100" w:beforeAutospacing="1" w:after="100" w:afterAutospacing="1"/>
            </w:pPr>
          </w:p>
        </w:tc>
      </w:tr>
    </w:tbl>
    <w:p w14:paraId="40F71A99" w14:textId="3CD68F17" w:rsidR="00AD502C" w:rsidRPr="00C95F33" w:rsidRDefault="0049684A" w:rsidP="002D571C">
      <w:pPr>
        <w:rPr>
          <w:noProof/>
          <w:sz w:val="22"/>
        </w:rPr>
      </w:pPr>
      <w:r w:rsidRPr="00C95F33">
        <w:rPr>
          <w:noProof/>
          <w:sz w:val="22"/>
        </w:rPr>
        <w:lastRenderedPageBreak/>
        <w:t>E</w:t>
      </w:r>
      <w:r w:rsidR="00AD502C" w:rsidRPr="00C95F33">
        <w:rPr>
          <w:noProof/>
          <w:sz w:val="22"/>
        </w:rPr>
        <w:t xml:space="preserve">nter in </w:t>
      </w:r>
      <w:r w:rsidR="002D571C" w:rsidRPr="00C95F33">
        <w:rPr>
          <w:noProof/>
          <w:sz w:val="22"/>
        </w:rPr>
        <w:t xml:space="preserve">the </w:t>
      </w:r>
      <w:r w:rsidR="003A6A89" w:rsidRPr="00C95F33">
        <w:rPr>
          <w:noProof/>
          <w:sz w:val="22"/>
        </w:rPr>
        <w:t>T</w:t>
      </w:r>
      <w:r w:rsidR="00AD502C" w:rsidRPr="00C95F33">
        <w:rPr>
          <w:noProof/>
          <w:sz w:val="22"/>
        </w:rPr>
        <w:t xml:space="preserve">able </w:t>
      </w:r>
      <w:r w:rsidR="002D571C" w:rsidRPr="00C95F33">
        <w:rPr>
          <w:noProof/>
          <w:sz w:val="22"/>
        </w:rPr>
        <w:t>below</w:t>
      </w:r>
      <w:r w:rsidR="003A6A89" w:rsidRPr="00C95F33">
        <w:rPr>
          <w:noProof/>
          <w:sz w:val="22"/>
        </w:rPr>
        <w:t xml:space="preserve"> </w:t>
      </w:r>
      <w:r w:rsidR="00AD502C" w:rsidRPr="00C95F33">
        <w:rPr>
          <w:noProof/>
          <w:sz w:val="22"/>
        </w:rPr>
        <w:t xml:space="preserve">the details of all the national specific actions implemented in </w:t>
      </w:r>
      <w:r w:rsidR="005F3499" w:rsidRPr="00C95F33">
        <w:rPr>
          <w:noProof/>
          <w:sz w:val="22"/>
        </w:rPr>
        <w:t xml:space="preserve">the </w:t>
      </w:r>
      <w:r w:rsidR="00AD502C" w:rsidRPr="00C95F33">
        <w:rPr>
          <w:noProof/>
          <w:sz w:val="22"/>
        </w:rPr>
        <w:t xml:space="preserve">programme. </w:t>
      </w:r>
      <w:r w:rsidR="00545857" w:rsidRPr="00C95F33">
        <w:rPr>
          <w:noProof/>
          <w:sz w:val="22"/>
        </w:rPr>
        <w:t>The r</w:t>
      </w:r>
      <w:r w:rsidR="00AD502C" w:rsidRPr="00C95F33">
        <w:rPr>
          <w:noProof/>
          <w:sz w:val="22"/>
        </w:rPr>
        <w:t>eporting on transnational specific actions should be consistent with the chosen reporting option.</w:t>
      </w:r>
      <w:r w:rsidR="009F716C" w:rsidRPr="00C95F33">
        <w:rPr>
          <w:rStyle w:val="Appelnotedebasdep"/>
          <w:noProof/>
          <w:sz w:val="22"/>
        </w:rPr>
        <w:footnoteReference w:id="12"/>
      </w:r>
      <w:r w:rsidR="00AD502C" w:rsidRPr="00C95F33">
        <w:rPr>
          <w:noProof/>
          <w:sz w:val="22"/>
        </w:rPr>
        <w:t xml:space="preserve"> </w:t>
      </w:r>
    </w:p>
    <w:tbl>
      <w:tblPr>
        <w:tblStyle w:val="Grilledutableau"/>
        <w:tblW w:w="9242" w:type="dxa"/>
        <w:tblLayout w:type="fixed"/>
        <w:tblCellMar>
          <w:left w:w="28" w:type="dxa"/>
          <w:right w:w="28" w:type="dxa"/>
        </w:tblCellMar>
        <w:tblLook w:val="04A0" w:firstRow="1" w:lastRow="0" w:firstColumn="1" w:lastColumn="0" w:noHBand="0" w:noVBand="1"/>
      </w:tblPr>
      <w:tblGrid>
        <w:gridCol w:w="879"/>
        <w:gridCol w:w="992"/>
        <w:gridCol w:w="992"/>
        <w:gridCol w:w="1276"/>
        <w:gridCol w:w="851"/>
        <w:gridCol w:w="1134"/>
        <w:gridCol w:w="1505"/>
        <w:gridCol w:w="1613"/>
      </w:tblGrid>
      <w:tr w:rsidR="00C95F33" w:rsidRPr="00C95F33" w14:paraId="53786CCF" w14:textId="77777777" w:rsidTr="0053671E">
        <w:trPr>
          <w:trHeight w:val="431"/>
        </w:trPr>
        <w:tc>
          <w:tcPr>
            <w:tcW w:w="879" w:type="dxa"/>
            <w:vMerge w:val="restart"/>
            <w:vAlign w:val="center"/>
          </w:tcPr>
          <w:p w14:paraId="62C44688" w14:textId="77777777" w:rsidR="00AD502C" w:rsidRPr="00C95F33" w:rsidRDefault="00AD502C" w:rsidP="00AD502C">
            <w:pPr>
              <w:rPr>
                <w:noProof/>
                <w:sz w:val="20"/>
              </w:rPr>
            </w:pPr>
            <w:r w:rsidRPr="00C95F33">
              <w:rPr>
                <w:noProof/>
                <w:sz w:val="20"/>
              </w:rPr>
              <w:t>S</w:t>
            </w:r>
            <w:r w:rsidR="00C22CA9" w:rsidRPr="00C95F33">
              <w:rPr>
                <w:noProof/>
                <w:sz w:val="20"/>
              </w:rPr>
              <w:t xml:space="preserve">pecific </w:t>
            </w:r>
            <w:r w:rsidRPr="00C95F33">
              <w:rPr>
                <w:noProof/>
                <w:sz w:val="20"/>
              </w:rPr>
              <w:t>O</w:t>
            </w:r>
            <w:r w:rsidR="00C22CA9" w:rsidRPr="00C95F33">
              <w:rPr>
                <w:noProof/>
                <w:sz w:val="20"/>
              </w:rPr>
              <w:t>bjective</w:t>
            </w:r>
          </w:p>
        </w:tc>
        <w:tc>
          <w:tcPr>
            <w:tcW w:w="992" w:type="dxa"/>
            <w:vMerge w:val="restart"/>
            <w:vAlign w:val="center"/>
          </w:tcPr>
          <w:p w14:paraId="1ED2BF47" w14:textId="77777777" w:rsidR="00AD502C" w:rsidRPr="00C95F33" w:rsidRDefault="00AD502C" w:rsidP="00AD502C">
            <w:pPr>
              <w:rPr>
                <w:noProof/>
                <w:sz w:val="20"/>
              </w:rPr>
            </w:pPr>
            <w:r w:rsidRPr="00C95F33">
              <w:rPr>
                <w:noProof/>
                <w:sz w:val="20"/>
              </w:rPr>
              <w:t>Name / reference number of the action</w:t>
            </w:r>
          </w:p>
        </w:tc>
        <w:tc>
          <w:tcPr>
            <w:tcW w:w="992" w:type="dxa"/>
            <w:vMerge w:val="restart"/>
            <w:vAlign w:val="center"/>
          </w:tcPr>
          <w:p w14:paraId="1600C18A" w14:textId="77777777" w:rsidR="00AD502C" w:rsidRPr="00C95F33" w:rsidRDefault="00AD502C" w:rsidP="00AD502C">
            <w:pPr>
              <w:rPr>
                <w:noProof/>
                <w:sz w:val="20"/>
              </w:rPr>
            </w:pPr>
            <w:r w:rsidRPr="00C95F33">
              <w:rPr>
                <w:noProof/>
                <w:sz w:val="20"/>
              </w:rPr>
              <w:t>Beneficiary</w:t>
            </w:r>
          </w:p>
        </w:tc>
        <w:tc>
          <w:tcPr>
            <w:tcW w:w="1276" w:type="dxa"/>
            <w:vMerge w:val="restart"/>
            <w:vAlign w:val="center"/>
          </w:tcPr>
          <w:p w14:paraId="360D8E32" w14:textId="77777777" w:rsidR="00AD502C" w:rsidRPr="00C95F33" w:rsidRDefault="00AD502C" w:rsidP="00AD502C">
            <w:pPr>
              <w:rPr>
                <w:noProof/>
                <w:sz w:val="20"/>
              </w:rPr>
            </w:pPr>
            <w:r w:rsidRPr="00C95F33">
              <w:rPr>
                <w:noProof/>
                <w:sz w:val="20"/>
              </w:rPr>
              <w:t xml:space="preserve">Implementing </w:t>
            </w:r>
            <w:r w:rsidR="00545857" w:rsidRPr="00C95F33">
              <w:rPr>
                <w:noProof/>
                <w:sz w:val="20"/>
              </w:rPr>
              <w:t>p</w:t>
            </w:r>
            <w:r w:rsidRPr="00C95F33">
              <w:rPr>
                <w:noProof/>
                <w:sz w:val="20"/>
              </w:rPr>
              <w:t>eriod</w:t>
            </w:r>
          </w:p>
        </w:tc>
        <w:tc>
          <w:tcPr>
            <w:tcW w:w="851" w:type="dxa"/>
            <w:vMerge w:val="restart"/>
            <w:vAlign w:val="center"/>
          </w:tcPr>
          <w:p w14:paraId="4114DD72" w14:textId="77777777" w:rsidR="00AD502C" w:rsidRPr="00C95F33" w:rsidRDefault="00AD502C" w:rsidP="009F716C">
            <w:pPr>
              <w:rPr>
                <w:noProof/>
                <w:sz w:val="20"/>
              </w:rPr>
            </w:pPr>
            <w:r w:rsidRPr="00C95F33">
              <w:rPr>
                <w:noProof/>
                <w:sz w:val="20"/>
              </w:rPr>
              <w:t>Eligible cost</w:t>
            </w:r>
            <w:r w:rsidR="009F716C" w:rsidRPr="00C95F33">
              <w:rPr>
                <w:rStyle w:val="Appelnotedebasdep"/>
                <w:noProof/>
                <w:sz w:val="20"/>
              </w:rPr>
              <w:footnoteReference w:id="13"/>
            </w:r>
          </w:p>
        </w:tc>
        <w:tc>
          <w:tcPr>
            <w:tcW w:w="1134" w:type="dxa"/>
            <w:vMerge w:val="restart"/>
            <w:vAlign w:val="center"/>
          </w:tcPr>
          <w:p w14:paraId="58802A9D" w14:textId="77777777" w:rsidR="00AD502C" w:rsidRPr="00C95F33" w:rsidRDefault="00AD502C" w:rsidP="009F716C">
            <w:pPr>
              <w:rPr>
                <w:noProof/>
                <w:sz w:val="20"/>
              </w:rPr>
            </w:pPr>
            <w:r w:rsidRPr="00C95F33">
              <w:rPr>
                <w:noProof/>
                <w:sz w:val="20"/>
              </w:rPr>
              <w:t>Eligible expenditure</w:t>
            </w:r>
            <w:r w:rsidR="009F716C" w:rsidRPr="00C95F33">
              <w:rPr>
                <w:rStyle w:val="Appelnotedebasdep"/>
                <w:noProof/>
                <w:sz w:val="20"/>
              </w:rPr>
              <w:footnoteReference w:id="14"/>
            </w:r>
          </w:p>
        </w:tc>
        <w:tc>
          <w:tcPr>
            <w:tcW w:w="3118" w:type="dxa"/>
            <w:gridSpan w:val="2"/>
            <w:vAlign w:val="center"/>
          </w:tcPr>
          <w:p w14:paraId="47EFBED3" w14:textId="77777777" w:rsidR="00AD502C" w:rsidRPr="00C95F33" w:rsidRDefault="00AD502C" w:rsidP="009F716C">
            <w:pPr>
              <w:rPr>
                <w:noProof/>
                <w:sz w:val="20"/>
              </w:rPr>
            </w:pPr>
            <w:r w:rsidRPr="00C95F33">
              <w:rPr>
                <w:noProof/>
                <w:sz w:val="20"/>
              </w:rPr>
              <w:t>Progress in the relevant common and / or programme</w:t>
            </w:r>
            <w:r w:rsidR="00545857" w:rsidRPr="00C95F33">
              <w:rPr>
                <w:noProof/>
                <w:sz w:val="20"/>
              </w:rPr>
              <w:t>-</w:t>
            </w:r>
            <w:r w:rsidRPr="00C95F33">
              <w:rPr>
                <w:noProof/>
                <w:sz w:val="20"/>
              </w:rPr>
              <w:t>specific indicators</w:t>
            </w:r>
            <w:r w:rsidR="009F716C" w:rsidRPr="00C95F33">
              <w:rPr>
                <w:rStyle w:val="Appelnotedebasdep"/>
                <w:noProof/>
                <w:sz w:val="20"/>
              </w:rPr>
              <w:footnoteReference w:id="15"/>
            </w:r>
          </w:p>
        </w:tc>
      </w:tr>
      <w:tr w:rsidR="00C95F33" w:rsidRPr="00C95F33" w14:paraId="79ABAAB7" w14:textId="77777777" w:rsidTr="00151819">
        <w:tc>
          <w:tcPr>
            <w:tcW w:w="879" w:type="dxa"/>
            <w:vMerge/>
            <w:vAlign w:val="center"/>
          </w:tcPr>
          <w:p w14:paraId="4DF317F7" w14:textId="77777777" w:rsidR="00AD502C" w:rsidRPr="00C95F33" w:rsidRDefault="00AD502C" w:rsidP="00AD502C">
            <w:pPr>
              <w:rPr>
                <w:noProof/>
                <w:sz w:val="20"/>
              </w:rPr>
            </w:pPr>
          </w:p>
        </w:tc>
        <w:tc>
          <w:tcPr>
            <w:tcW w:w="992" w:type="dxa"/>
            <w:vMerge/>
            <w:vAlign w:val="center"/>
          </w:tcPr>
          <w:p w14:paraId="01EB459C" w14:textId="77777777" w:rsidR="00AD502C" w:rsidRPr="00C95F33" w:rsidRDefault="00AD502C" w:rsidP="00AD502C">
            <w:pPr>
              <w:rPr>
                <w:noProof/>
                <w:sz w:val="20"/>
              </w:rPr>
            </w:pPr>
          </w:p>
        </w:tc>
        <w:tc>
          <w:tcPr>
            <w:tcW w:w="992" w:type="dxa"/>
            <w:vMerge/>
            <w:vAlign w:val="center"/>
          </w:tcPr>
          <w:p w14:paraId="39DA3435" w14:textId="77777777" w:rsidR="00AD502C" w:rsidRPr="00C95F33" w:rsidRDefault="00AD502C" w:rsidP="00AD502C">
            <w:pPr>
              <w:rPr>
                <w:noProof/>
                <w:sz w:val="20"/>
              </w:rPr>
            </w:pPr>
          </w:p>
        </w:tc>
        <w:tc>
          <w:tcPr>
            <w:tcW w:w="1276" w:type="dxa"/>
            <w:vMerge/>
            <w:vAlign w:val="center"/>
          </w:tcPr>
          <w:p w14:paraId="0311BA7D" w14:textId="77777777" w:rsidR="00AD502C" w:rsidRPr="00C95F33" w:rsidRDefault="00AD502C" w:rsidP="00AD502C">
            <w:pPr>
              <w:rPr>
                <w:noProof/>
                <w:sz w:val="20"/>
              </w:rPr>
            </w:pPr>
          </w:p>
        </w:tc>
        <w:tc>
          <w:tcPr>
            <w:tcW w:w="851" w:type="dxa"/>
            <w:vMerge/>
            <w:vAlign w:val="center"/>
          </w:tcPr>
          <w:p w14:paraId="5A2C00BC" w14:textId="77777777" w:rsidR="00AD502C" w:rsidRPr="00C95F33" w:rsidRDefault="00AD502C" w:rsidP="00AD502C">
            <w:pPr>
              <w:rPr>
                <w:noProof/>
                <w:sz w:val="20"/>
              </w:rPr>
            </w:pPr>
          </w:p>
        </w:tc>
        <w:tc>
          <w:tcPr>
            <w:tcW w:w="1134" w:type="dxa"/>
            <w:vMerge/>
            <w:vAlign w:val="center"/>
          </w:tcPr>
          <w:p w14:paraId="65251665" w14:textId="77777777" w:rsidR="00AD502C" w:rsidRPr="00C95F33" w:rsidRDefault="00AD502C" w:rsidP="00AD502C">
            <w:pPr>
              <w:rPr>
                <w:noProof/>
                <w:sz w:val="20"/>
              </w:rPr>
            </w:pPr>
          </w:p>
        </w:tc>
        <w:tc>
          <w:tcPr>
            <w:tcW w:w="1505" w:type="dxa"/>
            <w:vAlign w:val="center"/>
          </w:tcPr>
          <w:p w14:paraId="5AD91953" w14:textId="77777777" w:rsidR="00AD502C" w:rsidRPr="00C95F33" w:rsidRDefault="00AD502C" w:rsidP="00AD502C">
            <w:pPr>
              <w:rPr>
                <w:noProof/>
                <w:sz w:val="20"/>
              </w:rPr>
            </w:pPr>
            <w:r w:rsidRPr="00C95F33">
              <w:rPr>
                <w:noProof/>
                <w:sz w:val="20"/>
              </w:rPr>
              <w:t>Output</w:t>
            </w:r>
          </w:p>
        </w:tc>
        <w:tc>
          <w:tcPr>
            <w:tcW w:w="1613" w:type="dxa"/>
            <w:vAlign w:val="center"/>
          </w:tcPr>
          <w:p w14:paraId="55AD6FED" w14:textId="77777777" w:rsidR="00AD502C" w:rsidRPr="00C95F33" w:rsidRDefault="00AD502C" w:rsidP="00AD502C">
            <w:pPr>
              <w:rPr>
                <w:noProof/>
                <w:sz w:val="20"/>
              </w:rPr>
            </w:pPr>
            <w:r w:rsidRPr="00C95F33">
              <w:rPr>
                <w:noProof/>
                <w:sz w:val="20"/>
              </w:rPr>
              <w:t>Result</w:t>
            </w:r>
          </w:p>
        </w:tc>
      </w:tr>
      <w:tr w:rsidR="00C95F33" w:rsidRPr="00C95F33" w14:paraId="711E9B53" w14:textId="77777777" w:rsidTr="00151819">
        <w:tc>
          <w:tcPr>
            <w:tcW w:w="879" w:type="dxa"/>
            <w:vAlign w:val="center"/>
          </w:tcPr>
          <w:p w14:paraId="49C12398" w14:textId="77777777" w:rsidR="00AD502C" w:rsidRPr="00C95F33" w:rsidRDefault="00AD502C" w:rsidP="00E45665">
            <w:pPr>
              <w:pStyle w:val="Institutionquisigne"/>
              <w:spacing w:before="0"/>
              <w:jc w:val="center"/>
              <w:rPr>
                <w:i w:val="0"/>
                <w:noProof/>
                <w:sz w:val="22"/>
              </w:rPr>
            </w:pPr>
          </w:p>
        </w:tc>
        <w:tc>
          <w:tcPr>
            <w:tcW w:w="992" w:type="dxa"/>
            <w:vAlign w:val="center"/>
          </w:tcPr>
          <w:p w14:paraId="117F5477" w14:textId="77777777" w:rsidR="00AD502C" w:rsidRPr="00C95F33" w:rsidRDefault="00AD502C" w:rsidP="00E45665">
            <w:pPr>
              <w:pStyle w:val="Institutionquisigne"/>
              <w:spacing w:before="0"/>
              <w:jc w:val="center"/>
              <w:rPr>
                <w:noProof/>
              </w:rPr>
            </w:pPr>
          </w:p>
        </w:tc>
        <w:tc>
          <w:tcPr>
            <w:tcW w:w="992" w:type="dxa"/>
          </w:tcPr>
          <w:p w14:paraId="5CD80F54" w14:textId="77777777" w:rsidR="00AD502C" w:rsidRPr="00C95F33" w:rsidRDefault="00AD502C" w:rsidP="00E45665">
            <w:pPr>
              <w:pStyle w:val="Institutionquisigne"/>
              <w:spacing w:before="0"/>
              <w:jc w:val="center"/>
              <w:rPr>
                <w:noProof/>
              </w:rPr>
            </w:pPr>
          </w:p>
        </w:tc>
        <w:tc>
          <w:tcPr>
            <w:tcW w:w="1276" w:type="dxa"/>
          </w:tcPr>
          <w:p w14:paraId="67D0E8E6" w14:textId="77777777" w:rsidR="00AD502C" w:rsidRPr="00C95F33" w:rsidRDefault="00AD502C" w:rsidP="00E45665">
            <w:pPr>
              <w:pStyle w:val="Institutionquisigne"/>
              <w:spacing w:before="0"/>
              <w:jc w:val="center"/>
              <w:rPr>
                <w:noProof/>
              </w:rPr>
            </w:pPr>
          </w:p>
        </w:tc>
        <w:tc>
          <w:tcPr>
            <w:tcW w:w="851" w:type="dxa"/>
          </w:tcPr>
          <w:p w14:paraId="5483A229" w14:textId="77777777" w:rsidR="00AD502C" w:rsidRPr="00C95F33" w:rsidRDefault="00AD502C" w:rsidP="00E45665">
            <w:pPr>
              <w:pStyle w:val="Institutionquisigne"/>
              <w:spacing w:before="0"/>
              <w:jc w:val="center"/>
              <w:rPr>
                <w:noProof/>
              </w:rPr>
            </w:pPr>
          </w:p>
        </w:tc>
        <w:tc>
          <w:tcPr>
            <w:tcW w:w="1134" w:type="dxa"/>
          </w:tcPr>
          <w:p w14:paraId="58F0DA3B" w14:textId="77777777" w:rsidR="00AD502C" w:rsidRPr="00C95F33" w:rsidRDefault="00AD502C" w:rsidP="00E45665">
            <w:pPr>
              <w:pStyle w:val="Institutionquisigne"/>
              <w:spacing w:before="0"/>
              <w:jc w:val="center"/>
              <w:rPr>
                <w:noProof/>
              </w:rPr>
            </w:pPr>
          </w:p>
        </w:tc>
        <w:tc>
          <w:tcPr>
            <w:tcW w:w="1505" w:type="dxa"/>
          </w:tcPr>
          <w:p w14:paraId="2AF0F362" w14:textId="77777777" w:rsidR="00AD502C" w:rsidRPr="00C95F33" w:rsidRDefault="00AD502C" w:rsidP="00E45665">
            <w:pPr>
              <w:pStyle w:val="Institutionquisigne"/>
              <w:spacing w:before="0"/>
              <w:jc w:val="center"/>
              <w:rPr>
                <w:i w:val="0"/>
                <w:noProof/>
                <w:sz w:val="20"/>
              </w:rPr>
            </w:pPr>
          </w:p>
        </w:tc>
        <w:tc>
          <w:tcPr>
            <w:tcW w:w="1613" w:type="dxa"/>
          </w:tcPr>
          <w:p w14:paraId="78B5CA4B" w14:textId="77777777" w:rsidR="00AD502C" w:rsidRPr="00C95F33" w:rsidRDefault="00AD502C" w:rsidP="00E45665">
            <w:pPr>
              <w:pStyle w:val="Institutionquisigne"/>
              <w:spacing w:before="0"/>
              <w:jc w:val="center"/>
              <w:rPr>
                <w:i w:val="0"/>
                <w:noProof/>
                <w:sz w:val="20"/>
              </w:rPr>
            </w:pPr>
          </w:p>
        </w:tc>
      </w:tr>
    </w:tbl>
    <w:p w14:paraId="3E39B790" w14:textId="5F28948B" w:rsidR="00AD502C" w:rsidRPr="00C95F33" w:rsidRDefault="00457D1B" w:rsidP="00457D1B">
      <w:pPr>
        <w:pStyle w:val="ManualHeading2"/>
        <w:rPr>
          <w:noProof/>
        </w:rPr>
      </w:pPr>
      <w:r w:rsidRPr="00C95F33">
        <w:t>1.6.</w:t>
      </w:r>
      <w:r w:rsidRPr="00C95F33">
        <w:tab/>
      </w:r>
      <w:r w:rsidR="00AD502C" w:rsidRPr="00C95F33">
        <w:rPr>
          <w:noProof/>
        </w:rPr>
        <w:t>ETIAS – Article 29(2)</w:t>
      </w:r>
      <w:r w:rsidR="002F1935" w:rsidRPr="00C95F33">
        <w:rPr>
          <w:noProof/>
        </w:rPr>
        <w:t>,</w:t>
      </w:r>
      <w:r w:rsidR="00AD502C" w:rsidRPr="00C95F33">
        <w:rPr>
          <w:noProof/>
        </w:rPr>
        <w:t xml:space="preserve"> point (g)</w:t>
      </w:r>
      <w:r w:rsidR="002F1935" w:rsidRPr="00C95F33">
        <w:rPr>
          <w:noProof/>
        </w:rPr>
        <w:t>,</w:t>
      </w:r>
      <w:r w:rsidR="00AD502C" w:rsidRPr="00C95F33">
        <w:rPr>
          <w:noProof/>
        </w:rPr>
        <w:t xml:space="preserve"> of Regulation (EU) 2021/1148</w:t>
      </w:r>
    </w:p>
    <w:p w14:paraId="4743E541" w14:textId="77777777" w:rsidR="00AD502C" w:rsidRPr="00C95F33" w:rsidRDefault="0053671E" w:rsidP="00AD502C">
      <w:pPr>
        <w:rPr>
          <w:noProof/>
          <w:sz w:val="22"/>
        </w:rPr>
      </w:pPr>
      <w:r w:rsidRPr="00C95F33">
        <w:rPr>
          <w:noProof/>
          <w:sz w:val="22"/>
        </w:rPr>
        <w:t>P</w:t>
      </w:r>
      <w:r w:rsidR="00AD502C" w:rsidRPr="00C95F33">
        <w:rPr>
          <w:noProof/>
          <w:sz w:val="22"/>
        </w:rPr>
        <w:t>rovide information on the expenditure in accordance with Article 85(2) and (3) of Regulation (EU) 2018/1240</w:t>
      </w:r>
      <w:r w:rsidR="003A6A89" w:rsidRPr="00C95F33">
        <w:rPr>
          <w:noProof/>
        </w:rPr>
        <w:t xml:space="preserve"> </w:t>
      </w:r>
      <w:r w:rsidR="003A6A89" w:rsidRPr="00C95F33">
        <w:rPr>
          <w:noProof/>
          <w:sz w:val="22"/>
        </w:rPr>
        <w:t xml:space="preserve">of the European Parliament and of the Council </w:t>
      </w:r>
      <w:r w:rsidR="00F30684" w:rsidRPr="00C95F33">
        <w:rPr>
          <w:rStyle w:val="Appelnotedebasdep"/>
          <w:noProof/>
          <w:sz w:val="22"/>
        </w:rPr>
        <w:footnoteReference w:id="16"/>
      </w:r>
      <w:r w:rsidR="00AD502C" w:rsidRPr="00C95F33">
        <w:rPr>
          <w:noProof/>
          <w:sz w:val="22"/>
        </w:rPr>
        <w:t xml:space="preserve"> included in the accounts pursuant to the Article 98 of Regulation (EU) 2021/1060, as per the </w:t>
      </w:r>
      <w:r w:rsidR="00545857" w:rsidRPr="00C95F33">
        <w:rPr>
          <w:noProof/>
          <w:sz w:val="22"/>
        </w:rPr>
        <w:t>headings</w:t>
      </w:r>
      <w:r w:rsidR="007027D4" w:rsidRPr="00C95F33">
        <w:rPr>
          <w:noProof/>
          <w:sz w:val="22"/>
        </w:rPr>
        <w:t xml:space="preserve"> </w:t>
      </w:r>
      <w:r w:rsidR="002F1935" w:rsidRPr="00C95F33">
        <w:rPr>
          <w:noProof/>
          <w:sz w:val="22"/>
        </w:rPr>
        <w:t>set out in</w:t>
      </w:r>
      <w:r w:rsidR="00AD502C" w:rsidRPr="00C95F33">
        <w:rPr>
          <w:noProof/>
          <w:sz w:val="22"/>
        </w:rPr>
        <w:t xml:space="preserve"> the table below. </w:t>
      </w:r>
    </w:p>
    <w:tbl>
      <w:tblPr>
        <w:tblStyle w:val="Grilledetableauclaire"/>
        <w:tblW w:w="0" w:type="auto"/>
        <w:tblLook w:val="04A0" w:firstRow="1" w:lastRow="0" w:firstColumn="1" w:lastColumn="0" w:noHBand="0" w:noVBand="1"/>
      </w:tblPr>
      <w:tblGrid>
        <w:gridCol w:w="5920"/>
        <w:gridCol w:w="3260"/>
      </w:tblGrid>
      <w:tr w:rsidR="00C95F33" w:rsidRPr="00C95F33" w14:paraId="1C4BF6D2" w14:textId="77777777" w:rsidTr="00AD502C">
        <w:tc>
          <w:tcPr>
            <w:tcW w:w="5920" w:type="dxa"/>
          </w:tcPr>
          <w:p w14:paraId="12BED591" w14:textId="77777777" w:rsidR="00AD502C" w:rsidRPr="00C95F33" w:rsidRDefault="00AD502C" w:rsidP="00AD502C">
            <w:pPr>
              <w:spacing w:before="0" w:after="0"/>
              <w:rPr>
                <w:noProof/>
                <w:sz w:val="20"/>
              </w:rPr>
            </w:pPr>
            <w:r w:rsidRPr="00C95F33">
              <w:rPr>
                <w:noProof/>
                <w:sz w:val="20"/>
              </w:rPr>
              <w:t>Type of cost</w:t>
            </w:r>
          </w:p>
        </w:tc>
        <w:tc>
          <w:tcPr>
            <w:tcW w:w="3260" w:type="dxa"/>
          </w:tcPr>
          <w:p w14:paraId="3E13E52E" w14:textId="77777777" w:rsidR="00AD502C" w:rsidRPr="00C95F33" w:rsidRDefault="00AD502C" w:rsidP="00AD502C">
            <w:pPr>
              <w:spacing w:before="0" w:after="0"/>
              <w:rPr>
                <w:noProof/>
                <w:sz w:val="20"/>
              </w:rPr>
            </w:pPr>
            <w:r w:rsidRPr="00C95F33">
              <w:rPr>
                <w:noProof/>
                <w:sz w:val="20"/>
              </w:rPr>
              <w:t>Expenditure in the accounting year</w:t>
            </w:r>
          </w:p>
        </w:tc>
      </w:tr>
      <w:tr w:rsidR="00C95F33" w:rsidRPr="00C95F33" w14:paraId="03F07507" w14:textId="77777777" w:rsidTr="00AD502C">
        <w:tc>
          <w:tcPr>
            <w:tcW w:w="5920" w:type="dxa"/>
          </w:tcPr>
          <w:p w14:paraId="2948995A" w14:textId="00E9C552" w:rsidR="00AD502C" w:rsidRPr="00C95F33" w:rsidRDefault="00E45982" w:rsidP="00AD502C">
            <w:pPr>
              <w:spacing w:before="0" w:after="0"/>
              <w:rPr>
                <w:noProof/>
                <w:sz w:val="20"/>
              </w:rPr>
            </w:pPr>
            <w:r w:rsidRPr="00C95F33">
              <w:rPr>
                <w:noProof/>
                <w:sz w:val="20"/>
              </w:rPr>
              <w:t>Large-scale IT systems – European Travel Information and Authorisation System (ETIAS) – Article 85(2) of Regulation (EU) 2018/1240</w:t>
            </w:r>
          </w:p>
        </w:tc>
        <w:tc>
          <w:tcPr>
            <w:tcW w:w="3260" w:type="dxa"/>
          </w:tcPr>
          <w:p w14:paraId="612FDAF9" w14:textId="67971228" w:rsidR="00AD502C" w:rsidRPr="00C95F33" w:rsidRDefault="00624C98" w:rsidP="00AD502C">
            <w:pPr>
              <w:spacing w:before="0" w:after="0"/>
              <w:rPr>
                <w:i/>
                <w:noProof/>
                <w:sz w:val="20"/>
              </w:rPr>
            </w:pPr>
            <w:r w:rsidRPr="00C95F33">
              <w:rPr>
                <w:i/>
                <w:noProof/>
                <w:sz w:val="20"/>
              </w:rPr>
              <w:t>Not applicable.</w:t>
            </w:r>
          </w:p>
        </w:tc>
      </w:tr>
      <w:tr w:rsidR="00C95F33" w:rsidRPr="00C95F33" w14:paraId="14FDCC00" w14:textId="77777777" w:rsidTr="00AD502C">
        <w:tc>
          <w:tcPr>
            <w:tcW w:w="5920" w:type="dxa"/>
          </w:tcPr>
          <w:p w14:paraId="3AC6369B" w14:textId="234378D6" w:rsidR="00624C98" w:rsidRPr="00C95F33" w:rsidRDefault="00624C98" w:rsidP="00624C98">
            <w:pPr>
              <w:spacing w:before="0" w:after="0"/>
              <w:rPr>
                <w:noProof/>
                <w:sz w:val="20"/>
              </w:rPr>
            </w:pPr>
            <w:r w:rsidRPr="00C95F33">
              <w:rPr>
                <w:noProof/>
                <w:sz w:val="20"/>
              </w:rPr>
              <w:t>Large-scale IT systems – European Travel Information and Authorisation System (ETIAS) – Article 85(3) of Regulation (EU) 2018/1240</w:t>
            </w:r>
          </w:p>
        </w:tc>
        <w:tc>
          <w:tcPr>
            <w:tcW w:w="3260" w:type="dxa"/>
          </w:tcPr>
          <w:p w14:paraId="6129A076" w14:textId="2CAD7C53" w:rsidR="00624C98" w:rsidRPr="00C95F33" w:rsidRDefault="00624C98" w:rsidP="00624C98">
            <w:pPr>
              <w:spacing w:before="0" w:after="0"/>
              <w:rPr>
                <w:i/>
                <w:noProof/>
                <w:sz w:val="20"/>
              </w:rPr>
            </w:pPr>
            <w:r w:rsidRPr="00C95F33">
              <w:rPr>
                <w:i/>
                <w:noProof/>
                <w:sz w:val="20"/>
              </w:rPr>
              <w:t>Not applicable.</w:t>
            </w:r>
          </w:p>
        </w:tc>
      </w:tr>
    </w:tbl>
    <w:p w14:paraId="4B28E5E8" w14:textId="2C0BE3A2" w:rsidR="00AD502C" w:rsidRPr="00C95F33" w:rsidRDefault="00457D1B" w:rsidP="00457D1B">
      <w:pPr>
        <w:pStyle w:val="ManualHeading2"/>
        <w:rPr>
          <w:noProof/>
        </w:rPr>
      </w:pPr>
      <w:r w:rsidRPr="00C95F33">
        <w:t>1.7.</w:t>
      </w:r>
      <w:r w:rsidRPr="00C95F33">
        <w:tab/>
      </w:r>
      <w:r w:rsidR="00AD502C" w:rsidRPr="00C95F33">
        <w:rPr>
          <w:noProof/>
        </w:rPr>
        <w:t>Only in 2024</w:t>
      </w:r>
      <w:r w:rsidR="00B00D91" w:rsidRPr="00C95F33">
        <w:rPr>
          <w:noProof/>
        </w:rPr>
        <w:t>:</w:t>
      </w:r>
      <w:r w:rsidR="00AD502C" w:rsidRPr="00C95F33">
        <w:rPr>
          <w:noProof/>
        </w:rPr>
        <w:t xml:space="preserve"> </w:t>
      </w:r>
      <w:r w:rsidR="00B00D91" w:rsidRPr="00C95F33">
        <w:rPr>
          <w:noProof/>
        </w:rPr>
        <w:t>c</w:t>
      </w:r>
      <w:r w:rsidR="00AD502C" w:rsidRPr="00C95F33">
        <w:rPr>
          <w:noProof/>
        </w:rPr>
        <w:t>ontinuation of projects - Article 33(4)</w:t>
      </w:r>
      <w:r w:rsidR="002F1935" w:rsidRPr="00C95F33">
        <w:rPr>
          <w:noProof/>
        </w:rPr>
        <w:t>,</w:t>
      </w:r>
      <w:r w:rsidR="00AD502C" w:rsidRPr="00C95F33">
        <w:rPr>
          <w:noProof/>
        </w:rPr>
        <w:t xml:space="preserve"> point (e)</w:t>
      </w:r>
      <w:r w:rsidR="002F1935" w:rsidRPr="00C95F33">
        <w:rPr>
          <w:noProof/>
        </w:rPr>
        <w:t>,</w:t>
      </w:r>
      <w:r w:rsidR="00AD502C" w:rsidRPr="00C95F33">
        <w:rPr>
          <w:noProof/>
        </w:rPr>
        <w:t xml:space="preserve"> of Regulation (EU) 2021/1148</w:t>
      </w:r>
    </w:p>
    <w:p w14:paraId="7B08CAEC" w14:textId="77777777" w:rsidR="00AD502C" w:rsidRPr="00C95F33" w:rsidRDefault="0053671E" w:rsidP="00AD502C">
      <w:pPr>
        <w:pStyle w:val="Institutionquisigne"/>
        <w:spacing w:before="120" w:after="120"/>
        <w:rPr>
          <w:bCs/>
          <w:i w:val="0"/>
          <w:noProof/>
          <w:sz w:val="22"/>
        </w:rPr>
      </w:pPr>
      <w:r w:rsidRPr="00C95F33">
        <w:rPr>
          <w:bCs/>
          <w:i w:val="0"/>
          <w:noProof/>
          <w:sz w:val="22"/>
        </w:rPr>
        <w:t>R</w:t>
      </w:r>
      <w:r w:rsidR="00AD502C" w:rsidRPr="00C95F33">
        <w:rPr>
          <w:bCs/>
          <w:i w:val="0"/>
          <w:noProof/>
          <w:sz w:val="22"/>
        </w:rPr>
        <w:t>eport on any projects continued after 1</w:t>
      </w:r>
      <w:r w:rsidR="0071685A" w:rsidRPr="00C95F33">
        <w:rPr>
          <w:bCs/>
          <w:i w:val="0"/>
          <w:noProof/>
          <w:sz w:val="22"/>
        </w:rPr>
        <w:t> </w:t>
      </w:r>
      <w:r w:rsidR="00AD502C" w:rsidRPr="00C95F33">
        <w:rPr>
          <w:bCs/>
          <w:i w:val="0"/>
          <w:noProof/>
          <w:sz w:val="22"/>
        </w:rPr>
        <w:t>January</w:t>
      </w:r>
      <w:r w:rsidR="0071685A" w:rsidRPr="00C95F33">
        <w:rPr>
          <w:bCs/>
          <w:i w:val="0"/>
          <w:noProof/>
          <w:sz w:val="22"/>
        </w:rPr>
        <w:t> </w:t>
      </w:r>
      <w:r w:rsidR="00AD502C" w:rsidRPr="00C95F33">
        <w:rPr>
          <w:bCs/>
          <w:i w:val="0"/>
          <w:noProof/>
          <w:sz w:val="22"/>
        </w:rPr>
        <w:t xml:space="preserve">2021 </w:t>
      </w:r>
      <w:r w:rsidR="00B00D91" w:rsidRPr="00C95F33">
        <w:rPr>
          <w:bCs/>
          <w:i w:val="0"/>
          <w:noProof/>
          <w:sz w:val="22"/>
        </w:rPr>
        <w:t xml:space="preserve">that were </w:t>
      </w:r>
      <w:r w:rsidR="00AD502C" w:rsidRPr="00C95F33">
        <w:rPr>
          <w:bCs/>
          <w:i w:val="0"/>
          <w:noProof/>
          <w:sz w:val="22"/>
        </w:rPr>
        <w:t>selected and started under Regulation (EU) No 515/2014</w:t>
      </w:r>
      <w:r w:rsidR="003A6A89" w:rsidRPr="00C95F33">
        <w:rPr>
          <w:bCs/>
          <w:i w:val="0"/>
          <w:noProof/>
          <w:sz w:val="22"/>
        </w:rPr>
        <w:t xml:space="preserve"> of the European Parliament and of the Council</w:t>
      </w:r>
      <w:r w:rsidR="00CA4A64" w:rsidRPr="00C95F33">
        <w:rPr>
          <w:rStyle w:val="Appelnotedebasdep"/>
          <w:bCs/>
          <w:i w:val="0"/>
          <w:noProof/>
          <w:sz w:val="22"/>
        </w:rPr>
        <w:footnoteReference w:id="17"/>
      </w:r>
      <w:r w:rsidR="00AD502C" w:rsidRPr="00C95F33">
        <w:rPr>
          <w:bCs/>
          <w:i w:val="0"/>
          <w:noProof/>
          <w:sz w:val="22"/>
        </w:rPr>
        <w:t>, in accordance with Regulation (EU) No 514/2014</w:t>
      </w:r>
      <w:r w:rsidR="003A6A89" w:rsidRPr="00C95F33">
        <w:rPr>
          <w:bCs/>
          <w:i w:val="0"/>
          <w:noProof/>
          <w:sz w:val="22"/>
        </w:rPr>
        <w:t xml:space="preserve"> of the European Parliament and of the Council</w:t>
      </w:r>
      <w:r w:rsidR="00FD144E" w:rsidRPr="00C95F33">
        <w:rPr>
          <w:rStyle w:val="Appelnotedebasdep"/>
          <w:bCs/>
          <w:i w:val="0"/>
          <w:noProof/>
          <w:sz w:val="22"/>
        </w:rPr>
        <w:footnoteReference w:id="18"/>
      </w:r>
      <w:r w:rsidR="00AD502C" w:rsidRPr="00C95F33">
        <w:rPr>
          <w:bCs/>
          <w:i w:val="0"/>
          <w:noProof/>
          <w:sz w:val="22"/>
        </w:rPr>
        <w:t>.</w:t>
      </w:r>
    </w:p>
    <w:tbl>
      <w:tblPr>
        <w:tblStyle w:val="Grilledutableau"/>
        <w:tblW w:w="0" w:type="auto"/>
        <w:tblLook w:val="04A0" w:firstRow="1" w:lastRow="0" w:firstColumn="1" w:lastColumn="0" w:noHBand="0" w:noVBand="1"/>
      </w:tblPr>
      <w:tblGrid>
        <w:gridCol w:w="9289"/>
      </w:tblGrid>
      <w:tr w:rsidR="00C95F33" w:rsidRPr="00C95F33" w14:paraId="7462E57C" w14:textId="77777777" w:rsidTr="00E45665">
        <w:tc>
          <w:tcPr>
            <w:tcW w:w="9289" w:type="dxa"/>
          </w:tcPr>
          <w:p w14:paraId="1B5DB12E" w14:textId="1FECE6A7" w:rsidR="00AD502C" w:rsidRPr="00C95F33" w:rsidRDefault="004C4A48" w:rsidP="009D2860">
            <w:pPr>
              <w:pStyle w:val="Personnequisigne"/>
              <w:rPr>
                <w:noProof/>
              </w:rPr>
            </w:pPr>
            <w:r w:rsidRPr="00C95F33">
              <w:rPr>
                <w:noProof/>
              </w:rPr>
              <w:t>Not applicable.</w:t>
            </w:r>
          </w:p>
        </w:tc>
      </w:tr>
    </w:tbl>
    <w:p w14:paraId="110AB398" w14:textId="6CC3BBE3" w:rsidR="00AD502C" w:rsidRPr="00C95F33" w:rsidRDefault="00457D1B" w:rsidP="00457D1B">
      <w:pPr>
        <w:pStyle w:val="ManualHeading1"/>
        <w:rPr>
          <w:noProof/>
          <w:sz w:val="22"/>
        </w:rPr>
      </w:pPr>
      <w:r w:rsidRPr="00C95F33">
        <w:lastRenderedPageBreak/>
        <w:t>2.</w:t>
      </w:r>
      <w:r w:rsidRPr="00C95F33">
        <w:tab/>
      </w:r>
      <w:r w:rsidR="00AD502C" w:rsidRPr="00C95F33">
        <w:rPr>
          <w:noProof/>
        </w:rPr>
        <w:t xml:space="preserve">Complementarity </w:t>
      </w:r>
    </w:p>
    <w:p w14:paraId="62989746" w14:textId="0D64BD6D" w:rsidR="00AD502C" w:rsidRPr="00C95F33" w:rsidRDefault="00457D1B" w:rsidP="00457D1B">
      <w:pPr>
        <w:pStyle w:val="ManualHeading2"/>
        <w:rPr>
          <w:noProof/>
        </w:rPr>
      </w:pPr>
      <w:r w:rsidRPr="00C95F33">
        <w:t>2.1.</w:t>
      </w:r>
      <w:r w:rsidRPr="00C95F33">
        <w:tab/>
      </w:r>
      <w:r w:rsidR="00AD502C" w:rsidRPr="00C95F33">
        <w:rPr>
          <w:noProof/>
        </w:rPr>
        <w:t xml:space="preserve">Complementarity with other </w:t>
      </w:r>
      <w:r w:rsidR="000858E5" w:rsidRPr="00C95F33">
        <w:rPr>
          <w:noProof/>
        </w:rPr>
        <w:t xml:space="preserve">Union </w:t>
      </w:r>
      <w:r w:rsidR="00AD502C" w:rsidRPr="00C95F33">
        <w:rPr>
          <w:noProof/>
        </w:rPr>
        <w:t>funds – Article 29(2)</w:t>
      </w:r>
      <w:r w:rsidR="002F1935" w:rsidRPr="00C95F33">
        <w:rPr>
          <w:noProof/>
        </w:rPr>
        <w:t>,</w:t>
      </w:r>
      <w:r w:rsidR="00AD502C" w:rsidRPr="00C95F33">
        <w:rPr>
          <w:noProof/>
        </w:rPr>
        <w:t xml:space="preserve"> point (c)</w:t>
      </w:r>
      <w:r w:rsidR="002F1935" w:rsidRPr="00C95F33">
        <w:rPr>
          <w:noProof/>
        </w:rPr>
        <w:t>,</w:t>
      </w:r>
      <w:r w:rsidR="00AD502C" w:rsidRPr="00C95F33">
        <w:rPr>
          <w:noProof/>
        </w:rPr>
        <w:t xml:space="preserve"> of Regulation (EU) 2021/1148</w:t>
      </w:r>
    </w:p>
    <w:p w14:paraId="12F03618" w14:textId="6C3E6B58" w:rsidR="00AD502C" w:rsidRPr="00C95F33" w:rsidRDefault="004F0A2D" w:rsidP="00AD502C">
      <w:pPr>
        <w:rPr>
          <w:noProof/>
          <w:sz w:val="22"/>
        </w:rPr>
      </w:pPr>
      <w:r w:rsidRPr="00C95F33">
        <w:rPr>
          <w:noProof/>
          <w:sz w:val="22"/>
        </w:rPr>
        <w:t>D</w:t>
      </w:r>
      <w:r w:rsidR="00AD502C" w:rsidRPr="00C95F33">
        <w:rPr>
          <w:noProof/>
          <w:sz w:val="22"/>
        </w:rPr>
        <w:t>escribe the complementarity and</w:t>
      </w:r>
      <w:r w:rsidR="009D2860" w:rsidRPr="00C95F33">
        <w:rPr>
          <w:noProof/>
          <w:sz w:val="22"/>
        </w:rPr>
        <w:t>, if relevant,</w:t>
      </w:r>
      <w:r w:rsidR="00AD502C" w:rsidRPr="00C95F33">
        <w:rPr>
          <w:noProof/>
          <w:sz w:val="22"/>
        </w:rPr>
        <w:t xml:space="preserve"> synergies </w:t>
      </w:r>
      <w:r w:rsidR="00B00D91" w:rsidRPr="00C95F33">
        <w:rPr>
          <w:noProof/>
          <w:sz w:val="22"/>
        </w:rPr>
        <w:t xml:space="preserve">achieved during the accounting year </w:t>
      </w:r>
      <w:r w:rsidR="00AD502C" w:rsidRPr="00C95F33">
        <w:rPr>
          <w:noProof/>
          <w:sz w:val="22"/>
        </w:rPr>
        <w:t xml:space="preserve">between the actions supported </w:t>
      </w:r>
      <w:r w:rsidR="00153209" w:rsidRPr="00C95F33">
        <w:rPr>
          <w:noProof/>
          <w:sz w:val="22"/>
        </w:rPr>
        <w:t xml:space="preserve">by </w:t>
      </w:r>
      <w:r w:rsidR="00AD502C" w:rsidRPr="00C95F33">
        <w:rPr>
          <w:noProof/>
          <w:sz w:val="22"/>
        </w:rPr>
        <w:t xml:space="preserve">the </w:t>
      </w:r>
      <w:r w:rsidR="00623FB7" w:rsidRPr="00C95F33">
        <w:rPr>
          <w:noProof/>
          <w:sz w:val="22"/>
        </w:rPr>
        <w:t xml:space="preserve">Instrument </w:t>
      </w:r>
      <w:r w:rsidR="00AD502C" w:rsidRPr="00C95F33">
        <w:rPr>
          <w:noProof/>
          <w:sz w:val="22"/>
        </w:rPr>
        <w:t xml:space="preserve">and the support provided by other </w:t>
      </w:r>
      <w:r w:rsidR="00D139E5" w:rsidRPr="00C95F33">
        <w:rPr>
          <w:noProof/>
          <w:sz w:val="22"/>
        </w:rPr>
        <w:t xml:space="preserve">Union </w:t>
      </w:r>
      <w:r w:rsidR="00AD502C" w:rsidRPr="00C95F33">
        <w:rPr>
          <w:noProof/>
          <w:sz w:val="22"/>
        </w:rPr>
        <w:t>funds, in particular the</w:t>
      </w:r>
      <w:r w:rsidR="00AD502C" w:rsidRPr="00C95F33">
        <w:rPr>
          <w:noProof/>
        </w:rPr>
        <w:t xml:space="preserve"> </w:t>
      </w:r>
      <w:r w:rsidR="00AD502C" w:rsidRPr="00C95F33">
        <w:rPr>
          <w:noProof/>
          <w:sz w:val="22"/>
        </w:rPr>
        <w:t xml:space="preserve">Instrument for Financial Support for Customs Control Equipment, the Internal Security Fund, the Asylum, Migration and Integration </w:t>
      </w:r>
      <w:r w:rsidR="00277AF0" w:rsidRPr="00C95F33">
        <w:rPr>
          <w:noProof/>
          <w:sz w:val="22"/>
        </w:rPr>
        <w:t>F</w:t>
      </w:r>
      <w:r w:rsidR="00AD502C" w:rsidRPr="00C95F33">
        <w:rPr>
          <w:noProof/>
          <w:sz w:val="22"/>
        </w:rPr>
        <w:t>und</w:t>
      </w:r>
      <w:r w:rsidRPr="00C95F33">
        <w:rPr>
          <w:noProof/>
          <w:sz w:val="22"/>
        </w:rPr>
        <w:t>,</w:t>
      </w:r>
      <w:r w:rsidR="00F91152" w:rsidRPr="00C95F33">
        <w:rPr>
          <w:noProof/>
          <w:sz w:val="22"/>
        </w:rPr>
        <w:t xml:space="preserve"> </w:t>
      </w:r>
      <w:r w:rsidR="005F3499" w:rsidRPr="00C95F33">
        <w:rPr>
          <w:noProof/>
          <w:sz w:val="22"/>
        </w:rPr>
        <w:t xml:space="preserve">the </w:t>
      </w:r>
      <w:r w:rsidR="00D139E5" w:rsidRPr="00C95F33">
        <w:rPr>
          <w:noProof/>
          <w:sz w:val="22"/>
        </w:rPr>
        <w:t xml:space="preserve">Union </w:t>
      </w:r>
      <w:r w:rsidRPr="00C95F33">
        <w:rPr>
          <w:noProof/>
          <w:sz w:val="22"/>
        </w:rPr>
        <w:t>external financing instruments</w:t>
      </w:r>
      <w:r w:rsidRPr="00C95F33">
        <w:rPr>
          <w:rStyle w:val="Appelnotedebasdep"/>
          <w:noProof/>
          <w:sz w:val="22"/>
        </w:rPr>
        <w:footnoteReference w:id="19"/>
      </w:r>
      <w:r w:rsidR="005F3499" w:rsidRPr="00C95F33">
        <w:rPr>
          <w:noProof/>
          <w:sz w:val="22"/>
        </w:rPr>
        <w:t xml:space="preserve"> or in relation to maritime operations of a multipurpose character.</w:t>
      </w:r>
      <w:r w:rsidR="00AD502C" w:rsidRPr="00C95F33">
        <w:rPr>
          <w:noProof/>
          <w:sz w:val="22"/>
        </w:rPr>
        <w:t xml:space="preserve"> </w:t>
      </w:r>
    </w:p>
    <w:p w14:paraId="2457EC25" w14:textId="2BC32E7C" w:rsidR="00AD502C" w:rsidRPr="00C95F33" w:rsidRDefault="004F0A2D" w:rsidP="00AD502C">
      <w:pPr>
        <w:rPr>
          <w:noProof/>
          <w:sz w:val="22"/>
        </w:rPr>
      </w:pPr>
      <w:r w:rsidRPr="00C95F33">
        <w:rPr>
          <w:noProof/>
          <w:sz w:val="22"/>
        </w:rPr>
        <w:t>D</w:t>
      </w:r>
      <w:r w:rsidR="00AD502C" w:rsidRPr="00C95F33">
        <w:rPr>
          <w:noProof/>
          <w:sz w:val="22"/>
        </w:rPr>
        <w:t>escribe</w:t>
      </w:r>
      <w:r w:rsidRPr="00C95F33">
        <w:rPr>
          <w:noProof/>
          <w:sz w:val="22"/>
        </w:rPr>
        <w:t xml:space="preserve"> also</w:t>
      </w:r>
      <w:r w:rsidR="00AD502C" w:rsidRPr="00C95F33">
        <w:rPr>
          <w:noProof/>
          <w:sz w:val="22"/>
        </w:rPr>
        <w:t xml:space="preserve"> the complementarity of the activities carried out from the perspective of strengthening inter-agency cooperation</w:t>
      </w:r>
      <w:r w:rsidRPr="00C95F33">
        <w:rPr>
          <w:rStyle w:val="Appelnotedebasdep"/>
          <w:noProof/>
          <w:sz w:val="22"/>
        </w:rPr>
        <w:footnoteReference w:id="20"/>
      </w:r>
      <w:r w:rsidR="00AD502C" w:rsidRPr="00C95F33">
        <w:rPr>
          <w:noProof/>
          <w:sz w:val="22"/>
        </w:rPr>
        <w:t>, including cooperation with the European Border and Coast Guard Agency</w:t>
      </w:r>
      <w:r w:rsidR="005F3499" w:rsidRPr="00C95F33">
        <w:rPr>
          <w:noProof/>
          <w:sz w:val="22"/>
        </w:rPr>
        <w:t xml:space="preserve"> and the</w:t>
      </w:r>
      <w:r w:rsidR="00AD502C" w:rsidRPr="00C95F33">
        <w:rPr>
          <w:noProof/>
          <w:sz w:val="22"/>
        </w:rPr>
        <w:t xml:space="preserve"> relevant national authorities. </w:t>
      </w:r>
    </w:p>
    <w:p w14:paraId="5C0B0E79" w14:textId="77777777" w:rsidR="00AD502C" w:rsidRPr="00C95F33" w:rsidRDefault="004F0A2D" w:rsidP="00AD502C">
      <w:pPr>
        <w:rPr>
          <w:noProof/>
          <w:sz w:val="22"/>
        </w:rPr>
      </w:pPr>
      <w:r w:rsidRPr="00C95F33">
        <w:rPr>
          <w:noProof/>
          <w:sz w:val="22"/>
        </w:rPr>
        <w:t>P</w:t>
      </w:r>
      <w:r w:rsidR="00AD502C" w:rsidRPr="00C95F33">
        <w:rPr>
          <w:noProof/>
          <w:sz w:val="22"/>
        </w:rPr>
        <w:t>ay particular attention to:</w:t>
      </w:r>
    </w:p>
    <w:p w14:paraId="2F37194A" w14:textId="4F6EE869" w:rsidR="00AD502C" w:rsidRPr="00C95F33" w:rsidRDefault="00AD502C" w:rsidP="00C42346">
      <w:pPr>
        <w:pStyle w:val="Tiret0"/>
        <w:numPr>
          <w:ilvl w:val="0"/>
          <w:numId w:val="11"/>
        </w:numPr>
        <w:rPr>
          <w:noProof/>
          <w:sz w:val="22"/>
        </w:rPr>
      </w:pPr>
      <w:r w:rsidRPr="00C95F33">
        <w:rPr>
          <w:noProof/>
          <w:sz w:val="22"/>
        </w:rPr>
        <w:t xml:space="preserve">complementarity with any </w:t>
      </w:r>
      <w:r w:rsidR="00D139E5" w:rsidRPr="00C95F33">
        <w:rPr>
          <w:noProof/>
          <w:sz w:val="22"/>
        </w:rPr>
        <w:t xml:space="preserve">Union’s </w:t>
      </w:r>
      <w:r w:rsidR="004F0A2D" w:rsidRPr="00C95F33">
        <w:rPr>
          <w:noProof/>
          <w:sz w:val="22"/>
        </w:rPr>
        <w:t xml:space="preserve">external </w:t>
      </w:r>
      <w:r w:rsidR="00B043A6" w:rsidRPr="00C95F33">
        <w:rPr>
          <w:noProof/>
          <w:sz w:val="22"/>
        </w:rPr>
        <w:t>financing</w:t>
      </w:r>
      <w:r w:rsidRPr="00C95F33">
        <w:rPr>
          <w:noProof/>
          <w:sz w:val="22"/>
        </w:rPr>
        <w:t xml:space="preserve"> instruments for actions taken in or in relation to third countries, underlining the </w:t>
      </w:r>
      <w:r w:rsidR="0071685A" w:rsidRPr="00C95F33">
        <w:rPr>
          <w:noProof/>
          <w:sz w:val="22"/>
        </w:rPr>
        <w:t xml:space="preserve">aspects that are consistent </w:t>
      </w:r>
      <w:r w:rsidRPr="00C95F33">
        <w:rPr>
          <w:noProof/>
          <w:sz w:val="22"/>
        </w:rPr>
        <w:t xml:space="preserve">with the principles and general objectives of the </w:t>
      </w:r>
      <w:r w:rsidR="00D139E5" w:rsidRPr="00C95F33">
        <w:rPr>
          <w:noProof/>
          <w:sz w:val="22"/>
        </w:rPr>
        <w:t xml:space="preserve">Union’s </w:t>
      </w:r>
      <w:r w:rsidRPr="00C95F33">
        <w:rPr>
          <w:noProof/>
          <w:sz w:val="22"/>
        </w:rPr>
        <w:t>external policy</w:t>
      </w:r>
      <w:r w:rsidR="003A6A89" w:rsidRPr="00C95F33">
        <w:rPr>
          <w:noProof/>
          <w:sz w:val="22"/>
        </w:rPr>
        <w:t>;</w:t>
      </w:r>
    </w:p>
    <w:p w14:paraId="6FD203D9" w14:textId="3B45A355" w:rsidR="00AD502C" w:rsidRPr="00C95F33" w:rsidRDefault="00C07548" w:rsidP="00C42346">
      <w:pPr>
        <w:pStyle w:val="Tiret0"/>
        <w:numPr>
          <w:ilvl w:val="0"/>
          <w:numId w:val="11"/>
        </w:numPr>
        <w:rPr>
          <w:noProof/>
          <w:sz w:val="22"/>
        </w:rPr>
      </w:pPr>
      <w:r w:rsidRPr="00C95F33">
        <w:rPr>
          <w:noProof/>
          <w:sz w:val="22"/>
        </w:rPr>
        <w:t xml:space="preserve">the use of </w:t>
      </w:r>
      <w:r w:rsidR="00FA20F7" w:rsidRPr="00C95F33">
        <w:rPr>
          <w:noProof/>
          <w:sz w:val="22"/>
        </w:rPr>
        <w:t xml:space="preserve">enabling mechanisms, such as </w:t>
      </w:r>
      <w:r w:rsidR="00AD502C" w:rsidRPr="00C95F33">
        <w:rPr>
          <w:noProof/>
          <w:sz w:val="22"/>
        </w:rPr>
        <w:t xml:space="preserve">existing organisational and procedural arrangements that help achieve synergies and complementarities, and to any actions </w:t>
      </w:r>
      <w:r w:rsidR="00DE6181" w:rsidRPr="00C95F33">
        <w:rPr>
          <w:noProof/>
          <w:sz w:val="22"/>
        </w:rPr>
        <w:t xml:space="preserve">taken </w:t>
      </w:r>
      <w:r w:rsidR="00AD502C" w:rsidRPr="00C95F33">
        <w:rPr>
          <w:noProof/>
          <w:sz w:val="22"/>
        </w:rPr>
        <w:t xml:space="preserve">to </w:t>
      </w:r>
      <w:r w:rsidR="0001528B" w:rsidRPr="00C95F33">
        <w:rPr>
          <w:noProof/>
          <w:sz w:val="22"/>
        </w:rPr>
        <w:t xml:space="preserve">improve </w:t>
      </w:r>
      <w:r w:rsidR="00AD502C" w:rsidRPr="00C95F33">
        <w:rPr>
          <w:noProof/>
          <w:sz w:val="22"/>
        </w:rPr>
        <w:t xml:space="preserve">them during the accounting year. </w:t>
      </w:r>
    </w:p>
    <w:tbl>
      <w:tblPr>
        <w:tblStyle w:val="Grilledutableau"/>
        <w:tblW w:w="0" w:type="auto"/>
        <w:tblLook w:val="04A0" w:firstRow="1" w:lastRow="0" w:firstColumn="1" w:lastColumn="0" w:noHBand="0" w:noVBand="1"/>
      </w:tblPr>
      <w:tblGrid>
        <w:gridCol w:w="9289"/>
      </w:tblGrid>
      <w:tr w:rsidR="00C95F33" w:rsidRPr="00C95F33" w14:paraId="4D1B48F0" w14:textId="77777777" w:rsidTr="00E45665">
        <w:tc>
          <w:tcPr>
            <w:tcW w:w="9289" w:type="dxa"/>
          </w:tcPr>
          <w:p w14:paraId="0716A942" w14:textId="45636E78" w:rsidR="00817220" w:rsidRPr="00C95F33" w:rsidRDefault="00817220" w:rsidP="00A94DC1">
            <w:pPr>
              <w:pStyle w:val="Personnequisigne"/>
              <w:spacing w:before="100" w:beforeAutospacing="1" w:after="100" w:afterAutospacing="1"/>
              <w:jc w:val="both"/>
              <w:rPr>
                <w:noProof/>
              </w:rPr>
            </w:pPr>
            <w:r w:rsidRPr="00C95F33">
              <w:rPr>
                <w:noProof/>
              </w:rPr>
              <w:t>As mentioned in BE BMVI National Programme, the complementarity and synergies between the BMVI and other forms of support are mainly managed at the level of the final beneficiaries. For example, the Federal Police disposes of a dedicated project unit that works with a.o. the ISF and Horizon Europe. Specifically when it comes to the Customs Control Equipment Instrument (CCEI), the Federal Police and the Customs Control authorities are in close contact with each other and organize meetings in which they (1) discuss which instrument might best fit the incurred needs and (2) whether certain investments might serve both parties. In addition, an overall picture in terms of complementarity between the activities in the different funding streams is centralized within the Belgian Permanent Representation who have a view on all the projects submitted in the various programmes. There is permanent communication between the Managing Authority and the Permanent Representation in order to allow for the detection of possible synergies and complementarities.</w:t>
            </w:r>
          </w:p>
          <w:p w14:paraId="00EDA783" w14:textId="5B9E0DE4" w:rsidR="00AD502C" w:rsidRPr="00C95F33" w:rsidRDefault="00817220" w:rsidP="00A94DC1">
            <w:pPr>
              <w:pStyle w:val="Personnequisigne"/>
              <w:spacing w:before="100" w:beforeAutospacing="1" w:after="100" w:afterAutospacing="1"/>
              <w:jc w:val="both"/>
              <w:rPr>
                <w:noProof/>
              </w:rPr>
            </w:pPr>
            <w:r w:rsidRPr="00C95F33">
              <w:rPr>
                <w:noProof/>
              </w:rPr>
              <w:t>Furthermore and as mentioned in BE's Partnership Agreement, in case of emerging doubts around certain aspects of submitted project proposals, the necessary coordination and alignment will take place with Managing Authorities of other respective programmes, and this with the aim of ruling out the risk of double funding.</w:t>
            </w:r>
            <w:r w:rsidR="002871C6" w:rsidRPr="00C95F33">
              <w:rPr>
                <w:noProof/>
              </w:rPr>
              <w:t xml:space="preserve"> During the reference period, such alignment initiatives have not been necessary / taken place.</w:t>
            </w:r>
          </w:p>
          <w:p w14:paraId="5987D006" w14:textId="6AB2F603" w:rsidR="002871C6" w:rsidRPr="00C95F33" w:rsidRDefault="00A94DC1" w:rsidP="00A94DC1">
            <w:pPr>
              <w:pStyle w:val="Institutionquisigne"/>
              <w:spacing w:before="100" w:beforeAutospacing="1" w:after="100" w:afterAutospacing="1"/>
            </w:pPr>
            <w:r w:rsidRPr="00C95F33">
              <w:t>In addition, consultations are regularly organised within BE’s Steering Committee and Monitoring Committee, where representatives of the cabinets responsible for Foreign Affairs (covering ‘External relation instruments’), Social Integration, Interior (ex. Horizon 2020) and Asylum/Migration are present.</w:t>
            </w:r>
          </w:p>
          <w:p w14:paraId="0ADEF30C" w14:textId="2BA71010" w:rsidR="00817220" w:rsidRPr="00C95F33" w:rsidRDefault="00A94DC1" w:rsidP="00A94DC1">
            <w:pPr>
              <w:pStyle w:val="Personnequisigne"/>
              <w:spacing w:before="100" w:beforeAutospacing="1" w:after="100" w:afterAutospacing="1"/>
              <w:jc w:val="both"/>
            </w:pPr>
            <w:r w:rsidRPr="00C95F33">
              <w:t>When they introduce a new proje</w:t>
            </w:r>
            <w:r w:rsidR="009F6E22" w:rsidRPr="00C95F33">
              <w:t xml:space="preserve">ct, all beneficiaries </w:t>
            </w:r>
            <w:r w:rsidRPr="00C95F33">
              <w:t xml:space="preserve">are also requested to provide </w:t>
            </w:r>
            <w:r w:rsidRPr="00C95F33">
              <w:lastRenderedPageBreak/>
              <w:t>information on other sources of European funding they benefit from and how the risk of double financing will be avoided. This provides additional useful inform</w:t>
            </w:r>
            <w:r w:rsidR="009F6E22" w:rsidRPr="00C95F33">
              <w:t>ation to the Managing Authority in terms of complementarity.</w:t>
            </w:r>
          </w:p>
          <w:p w14:paraId="66EA7F1C" w14:textId="2B2378D3" w:rsidR="00A94DC1" w:rsidRPr="00C95F33" w:rsidRDefault="00A94DC1" w:rsidP="00A94DC1">
            <w:pPr>
              <w:pStyle w:val="Institutionquisigne"/>
              <w:spacing w:before="100" w:beforeAutospacing="1" w:after="100" w:afterAutospacing="1"/>
              <w:rPr>
                <w:lang w:val="en-US"/>
              </w:rPr>
            </w:pPr>
          </w:p>
        </w:tc>
      </w:tr>
    </w:tbl>
    <w:p w14:paraId="2AC9EB04" w14:textId="19DB4EA5" w:rsidR="00AD502C" w:rsidRPr="00C95F33" w:rsidRDefault="00457D1B" w:rsidP="00457D1B">
      <w:pPr>
        <w:pStyle w:val="ManualHeading2"/>
        <w:rPr>
          <w:noProof/>
        </w:rPr>
      </w:pPr>
      <w:r w:rsidRPr="00C95F33">
        <w:lastRenderedPageBreak/>
        <w:t>2.2.</w:t>
      </w:r>
      <w:r w:rsidRPr="00C95F33">
        <w:tab/>
      </w:r>
      <w:r w:rsidR="00AD502C" w:rsidRPr="00C95F33">
        <w:rPr>
          <w:noProof/>
        </w:rPr>
        <w:t>Multi</w:t>
      </w:r>
      <w:r w:rsidR="0071685A" w:rsidRPr="00C95F33">
        <w:rPr>
          <w:noProof/>
        </w:rPr>
        <w:t>purpose</w:t>
      </w:r>
      <w:r w:rsidR="00AD502C" w:rsidRPr="00C95F33">
        <w:rPr>
          <w:noProof/>
        </w:rPr>
        <w:t xml:space="preserve"> equipment and ICT systems </w:t>
      </w:r>
      <w:r w:rsidR="00DE6181" w:rsidRPr="00C95F33">
        <w:rPr>
          <w:noProof/>
        </w:rPr>
        <w:t xml:space="preserve">– </w:t>
      </w:r>
      <w:r w:rsidR="00561E3E" w:rsidRPr="00C95F33">
        <w:rPr>
          <w:noProof/>
        </w:rPr>
        <w:t>A</w:t>
      </w:r>
      <w:r w:rsidR="00AD502C" w:rsidRPr="00C95F33">
        <w:rPr>
          <w:noProof/>
        </w:rPr>
        <w:t xml:space="preserve">rticle 13(14) of Regulation (EU) 2021/1148 </w:t>
      </w:r>
    </w:p>
    <w:p w14:paraId="1F49CB67" w14:textId="2E3CCDA5" w:rsidR="008671BE" w:rsidRPr="00C95F33" w:rsidRDefault="00956638" w:rsidP="00AD502C">
      <w:pPr>
        <w:rPr>
          <w:noProof/>
          <w:sz w:val="22"/>
        </w:rPr>
      </w:pPr>
      <w:r w:rsidRPr="00C95F33">
        <w:rPr>
          <w:noProof/>
          <w:sz w:val="22"/>
        </w:rPr>
        <w:t>D</w:t>
      </w:r>
      <w:r w:rsidR="00AD502C" w:rsidRPr="00C95F33">
        <w:rPr>
          <w:noProof/>
          <w:sz w:val="22"/>
        </w:rPr>
        <w:t xml:space="preserve">escribe </w:t>
      </w:r>
      <w:r w:rsidR="00A97818" w:rsidRPr="00C95F33">
        <w:rPr>
          <w:noProof/>
          <w:sz w:val="22"/>
        </w:rPr>
        <w:t xml:space="preserve">briefly </w:t>
      </w:r>
      <w:r w:rsidR="00AD502C" w:rsidRPr="00C95F33">
        <w:rPr>
          <w:noProof/>
          <w:sz w:val="22"/>
        </w:rPr>
        <w:t xml:space="preserve">the relevant operations </w:t>
      </w:r>
      <w:r w:rsidR="00014F7C" w:rsidRPr="00C95F33">
        <w:rPr>
          <w:noProof/>
          <w:sz w:val="22"/>
        </w:rPr>
        <w:t xml:space="preserve">involving </w:t>
      </w:r>
      <w:r w:rsidR="00AD502C" w:rsidRPr="00C95F33">
        <w:rPr>
          <w:noProof/>
          <w:sz w:val="22"/>
        </w:rPr>
        <w:t>equipment and ICT systems purchased with the support of the programme during the accounting year</w:t>
      </w:r>
      <w:r w:rsidR="002800A7" w:rsidRPr="00C95F33">
        <w:rPr>
          <w:noProof/>
          <w:sz w:val="22"/>
        </w:rPr>
        <w:t xml:space="preserve"> and used</w:t>
      </w:r>
      <w:r w:rsidR="00AD502C" w:rsidRPr="00C95F33">
        <w:rPr>
          <w:noProof/>
          <w:sz w:val="22"/>
        </w:rPr>
        <w:t xml:space="preserve"> in complementary areas of customs </w:t>
      </w:r>
      <w:r w:rsidR="002800A7" w:rsidRPr="00C95F33">
        <w:rPr>
          <w:noProof/>
          <w:sz w:val="22"/>
        </w:rPr>
        <w:t>controls</w:t>
      </w:r>
      <w:r w:rsidR="00AD502C" w:rsidRPr="00C95F33">
        <w:rPr>
          <w:noProof/>
          <w:sz w:val="22"/>
        </w:rPr>
        <w:t xml:space="preserve">, maritime operations of a multipurpose character </w:t>
      </w:r>
      <w:r w:rsidR="00271400" w:rsidRPr="00C95F33">
        <w:rPr>
          <w:noProof/>
          <w:sz w:val="22"/>
        </w:rPr>
        <w:t>or</w:t>
      </w:r>
      <w:r w:rsidR="00845587" w:rsidRPr="00C95F33">
        <w:rPr>
          <w:noProof/>
          <w:sz w:val="22"/>
        </w:rPr>
        <w:t xml:space="preserve"> achieving </w:t>
      </w:r>
      <w:r w:rsidR="00AD502C" w:rsidRPr="00C95F33">
        <w:rPr>
          <w:noProof/>
          <w:sz w:val="22"/>
        </w:rPr>
        <w:t xml:space="preserve">the objectives of the </w:t>
      </w:r>
      <w:r w:rsidR="006E268C" w:rsidRPr="00C95F33">
        <w:rPr>
          <w:noProof/>
          <w:sz w:val="22"/>
        </w:rPr>
        <w:t xml:space="preserve">Internal Security Fund </w:t>
      </w:r>
      <w:r w:rsidR="00AD502C" w:rsidRPr="00C95F33">
        <w:rPr>
          <w:noProof/>
          <w:sz w:val="22"/>
        </w:rPr>
        <w:t xml:space="preserve">and of the </w:t>
      </w:r>
      <w:r w:rsidR="006E268C" w:rsidRPr="00C95F33">
        <w:rPr>
          <w:noProof/>
          <w:sz w:val="22"/>
        </w:rPr>
        <w:t>Asylum, Migration and Integration Fund</w:t>
      </w:r>
      <w:r w:rsidRPr="00C95F33">
        <w:rPr>
          <w:noProof/>
          <w:sz w:val="22"/>
        </w:rPr>
        <w:t>.</w:t>
      </w:r>
      <w:r w:rsidR="006E268C" w:rsidRPr="00C95F33">
        <w:rPr>
          <w:noProof/>
          <w:sz w:val="22"/>
        </w:rPr>
        <w:t xml:space="preserve"> </w:t>
      </w:r>
      <w:r w:rsidRPr="00C95F33">
        <w:rPr>
          <w:noProof/>
          <w:sz w:val="22"/>
        </w:rPr>
        <w:t>I</w:t>
      </w:r>
      <w:r w:rsidR="00AD502C" w:rsidRPr="00C95F33">
        <w:rPr>
          <w:noProof/>
          <w:sz w:val="22"/>
        </w:rPr>
        <w:t>ndicate the place</w:t>
      </w:r>
      <w:r w:rsidR="00305958" w:rsidRPr="00C95F33">
        <w:rPr>
          <w:noProof/>
          <w:sz w:val="22"/>
        </w:rPr>
        <w:t>(s) where</w:t>
      </w:r>
      <w:r w:rsidR="00AD502C" w:rsidRPr="00C95F33">
        <w:rPr>
          <w:noProof/>
          <w:sz w:val="22"/>
        </w:rPr>
        <w:t xml:space="preserve"> multi</w:t>
      </w:r>
      <w:r w:rsidR="0071685A" w:rsidRPr="00C95F33">
        <w:rPr>
          <w:noProof/>
          <w:sz w:val="22"/>
        </w:rPr>
        <w:t>purpose</w:t>
      </w:r>
      <w:r w:rsidR="00AD502C" w:rsidRPr="00C95F33">
        <w:rPr>
          <w:noProof/>
          <w:sz w:val="22"/>
        </w:rPr>
        <w:t xml:space="preserve"> equipment and ICT systems</w:t>
      </w:r>
      <w:r w:rsidR="00305958" w:rsidRPr="00C95F33">
        <w:rPr>
          <w:noProof/>
          <w:sz w:val="22"/>
        </w:rPr>
        <w:t xml:space="preserve"> were deployed</w:t>
      </w:r>
      <w:r w:rsidR="00AD502C" w:rsidRPr="00C95F33">
        <w:rPr>
          <w:noProof/>
          <w:sz w:val="22"/>
        </w:rPr>
        <w:t xml:space="preserve">. </w:t>
      </w:r>
    </w:p>
    <w:p w14:paraId="6D0CE4D0" w14:textId="08B10E53" w:rsidR="00AD502C" w:rsidRPr="00C95F33" w:rsidRDefault="00AD502C" w:rsidP="00AD502C">
      <w:pPr>
        <w:rPr>
          <w:noProof/>
          <w:sz w:val="22"/>
        </w:rPr>
      </w:pPr>
      <w:r w:rsidRPr="00C95F33">
        <w:rPr>
          <w:noProof/>
          <w:sz w:val="22"/>
        </w:rPr>
        <w:t xml:space="preserve">For equipment, also provide information on </w:t>
      </w:r>
      <w:r w:rsidR="00014F7C" w:rsidRPr="00C95F33">
        <w:rPr>
          <w:noProof/>
          <w:sz w:val="22"/>
        </w:rPr>
        <w:t xml:space="preserve">the </w:t>
      </w:r>
      <w:r w:rsidRPr="00C95F33">
        <w:rPr>
          <w:noProof/>
          <w:sz w:val="22"/>
        </w:rPr>
        <w:t xml:space="preserve">period </w:t>
      </w:r>
      <w:r w:rsidR="00DE6181" w:rsidRPr="00C95F33">
        <w:rPr>
          <w:noProof/>
          <w:sz w:val="22"/>
        </w:rPr>
        <w:t>when it was used</w:t>
      </w:r>
      <w:r w:rsidRPr="00C95F33">
        <w:rPr>
          <w:noProof/>
          <w:sz w:val="22"/>
        </w:rPr>
        <w:t xml:space="preserve"> in the complementary areas</w:t>
      </w:r>
      <w:r w:rsidR="002800A7" w:rsidRPr="00C95F33">
        <w:rPr>
          <w:noProof/>
          <w:sz w:val="22"/>
        </w:rPr>
        <w:t>.</w:t>
      </w:r>
      <w:r w:rsidRPr="00C95F33">
        <w:rPr>
          <w:noProof/>
          <w:sz w:val="22"/>
        </w:rPr>
        <w:t xml:space="preserve"> </w:t>
      </w:r>
    </w:p>
    <w:tbl>
      <w:tblPr>
        <w:tblStyle w:val="Grilledutableau"/>
        <w:tblW w:w="0" w:type="auto"/>
        <w:tblLook w:val="04A0" w:firstRow="1" w:lastRow="0" w:firstColumn="1" w:lastColumn="0" w:noHBand="0" w:noVBand="1"/>
      </w:tblPr>
      <w:tblGrid>
        <w:gridCol w:w="9289"/>
      </w:tblGrid>
      <w:tr w:rsidR="00C95F33" w:rsidRPr="00C95F33" w14:paraId="474D1C7C" w14:textId="77777777" w:rsidTr="00E45665">
        <w:tc>
          <w:tcPr>
            <w:tcW w:w="9289" w:type="dxa"/>
          </w:tcPr>
          <w:p w14:paraId="22B2FAD2" w14:textId="265FA804" w:rsidR="00AD502C" w:rsidRPr="00C95F33" w:rsidRDefault="00903377" w:rsidP="00E45665">
            <w:pPr>
              <w:pStyle w:val="Personnequisigne"/>
              <w:rPr>
                <w:noProof/>
              </w:rPr>
            </w:pPr>
            <w:r w:rsidRPr="00C95F33">
              <w:rPr>
                <w:noProof/>
              </w:rPr>
              <w:t>Not applicable.</w:t>
            </w:r>
          </w:p>
        </w:tc>
      </w:tr>
    </w:tbl>
    <w:p w14:paraId="744AA4D9" w14:textId="2F65CA14" w:rsidR="008671BE" w:rsidRPr="00C95F33" w:rsidRDefault="0078471E">
      <w:pPr>
        <w:rPr>
          <w:noProof/>
        </w:rPr>
      </w:pPr>
      <w:r w:rsidRPr="00C95F33">
        <w:rPr>
          <w:noProof/>
          <w:sz w:val="22"/>
        </w:rPr>
        <w:t xml:space="preserve">For a </w:t>
      </w:r>
      <w:r w:rsidR="00817DCD" w:rsidRPr="00C95F33">
        <w:rPr>
          <w:noProof/>
          <w:sz w:val="22"/>
        </w:rPr>
        <w:t xml:space="preserve">Union </w:t>
      </w:r>
      <w:r w:rsidRPr="00C95F33">
        <w:rPr>
          <w:noProof/>
          <w:sz w:val="22"/>
        </w:rPr>
        <w:t xml:space="preserve">information system funded under the Regulation (EU) 2021/1148 </w:t>
      </w:r>
      <w:r w:rsidR="00845587" w:rsidRPr="00C95F33">
        <w:rPr>
          <w:noProof/>
          <w:sz w:val="22"/>
        </w:rPr>
        <w:t xml:space="preserve">that </w:t>
      </w:r>
      <w:r w:rsidRPr="00C95F33">
        <w:rPr>
          <w:noProof/>
          <w:sz w:val="22"/>
        </w:rPr>
        <w:t xml:space="preserve">also serves the objectives of </w:t>
      </w:r>
      <w:r w:rsidR="00BE551E" w:rsidRPr="00C95F33">
        <w:rPr>
          <w:noProof/>
          <w:sz w:val="22"/>
        </w:rPr>
        <w:t>Regulation (EU) 2021/1147</w:t>
      </w:r>
      <w:r w:rsidR="00845587" w:rsidRPr="00C95F33">
        <w:rPr>
          <w:noProof/>
          <w:sz w:val="22"/>
        </w:rPr>
        <w:t xml:space="preserve"> and</w:t>
      </w:r>
      <w:r w:rsidR="00945407" w:rsidRPr="00C95F33">
        <w:rPr>
          <w:noProof/>
          <w:sz w:val="22"/>
        </w:rPr>
        <w:t xml:space="preserve"> </w:t>
      </w:r>
      <w:r w:rsidR="00DF7BF3" w:rsidRPr="00C95F33">
        <w:rPr>
          <w:noProof/>
          <w:sz w:val="22"/>
        </w:rPr>
        <w:t>Regulation (EU) 2021/1149 (multipurpose)</w:t>
      </w:r>
      <w:r w:rsidRPr="00C95F33">
        <w:rPr>
          <w:noProof/>
          <w:sz w:val="22"/>
        </w:rPr>
        <w:t xml:space="preserve"> or activities required under the </w:t>
      </w:r>
      <w:r w:rsidR="00817DCD" w:rsidRPr="00C95F33">
        <w:rPr>
          <w:noProof/>
          <w:sz w:val="22"/>
        </w:rPr>
        <w:t xml:space="preserve">Union </w:t>
      </w:r>
      <w:r w:rsidRPr="00C95F33">
        <w:rPr>
          <w:noProof/>
          <w:sz w:val="22"/>
        </w:rPr>
        <w:t>interoperability legal framework,</w:t>
      </w:r>
      <w:r w:rsidR="00BE551E" w:rsidRPr="00C95F33">
        <w:rPr>
          <w:rStyle w:val="Appelnotedebasdep"/>
          <w:noProof/>
          <w:sz w:val="22"/>
        </w:rPr>
        <w:footnoteReference w:id="21"/>
      </w:r>
      <w:r w:rsidRPr="00C95F33">
        <w:rPr>
          <w:noProof/>
          <w:sz w:val="22"/>
        </w:rPr>
        <w:t xml:space="preserve"> fill in the table below. </w:t>
      </w:r>
    </w:p>
    <w:tbl>
      <w:tblPr>
        <w:tblStyle w:val="Grilledutableau"/>
        <w:tblW w:w="9289" w:type="dxa"/>
        <w:tblLayout w:type="fixed"/>
        <w:tblLook w:val="04A0" w:firstRow="1" w:lastRow="0" w:firstColumn="1" w:lastColumn="0" w:noHBand="0" w:noVBand="1"/>
      </w:tblPr>
      <w:tblGrid>
        <w:gridCol w:w="959"/>
        <w:gridCol w:w="992"/>
        <w:gridCol w:w="1276"/>
        <w:gridCol w:w="1134"/>
        <w:gridCol w:w="1559"/>
        <w:gridCol w:w="992"/>
        <w:gridCol w:w="1134"/>
        <w:gridCol w:w="1243"/>
      </w:tblGrid>
      <w:tr w:rsidR="00C95F33" w:rsidRPr="00C95F33" w14:paraId="79BBB9BD" w14:textId="77777777" w:rsidTr="00151819">
        <w:trPr>
          <w:trHeight w:val="688"/>
        </w:trPr>
        <w:tc>
          <w:tcPr>
            <w:tcW w:w="959" w:type="dxa"/>
            <w:vAlign w:val="center"/>
          </w:tcPr>
          <w:p w14:paraId="6EA316EF" w14:textId="77777777" w:rsidR="008671BE" w:rsidRPr="00C95F33" w:rsidRDefault="008671BE" w:rsidP="00F12B44">
            <w:pPr>
              <w:pStyle w:val="Institutionquisigne"/>
              <w:spacing w:before="0"/>
              <w:jc w:val="center"/>
              <w:rPr>
                <w:i w:val="0"/>
                <w:noProof/>
                <w:sz w:val="20"/>
              </w:rPr>
            </w:pPr>
            <w:r w:rsidRPr="00C95F33">
              <w:rPr>
                <w:i w:val="0"/>
                <w:noProof/>
                <w:sz w:val="20"/>
              </w:rPr>
              <w:t>S</w:t>
            </w:r>
            <w:r w:rsidR="00F12B44" w:rsidRPr="00C95F33">
              <w:rPr>
                <w:i w:val="0"/>
                <w:noProof/>
                <w:sz w:val="20"/>
              </w:rPr>
              <w:t>pecific objective</w:t>
            </w:r>
          </w:p>
        </w:tc>
        <w:tc>
          <w:tcPr>
            <w:tcW w:w="992" w:type="dxa"/>
            <w:vAlign w:val="center"/>
          </w:tcPr>
          <w:p w14:paraId="01B3C3A4" w14:textId="77777777" w:rsidR="008671BE" w:rsidRPr="00C95F33" w:rsidRDefault="008671BE" w:rsidP="0059250C">
            <w:pPr>
              <w:pStyle w:val="Institutionquisigne"/>
              <w:spacing w:before="0"/>
              <w:jc w:val="center"/>
              <w:rPr>
                <w:i w:val="0"/>
                <w:noProof/>
                <w:sz w:val="20"/>
              </w:rPr>
            </w:pPr>
            <w:r w:rsidRPr="00C95F33">
              <w:rPr>
                <w:i w:val="0"/>
                <w:noProof/>
                <w:sz w:val="20"/>
              </w:rPr>
              <w:t>Name of the operation</w:t>
            </w:r>
          </w:p>
        </w:tc>
        <w:tc>
          <w:tcPr>
            <w:tcW w:w="1276" w:type="dxa"/>
            <w:vAlign w:val="center"/>
          </w:tcPr>
          <w:p w14:paraId="686524F2" w14:textId="77777777" w:rsidR="008671BE" w:rsidRPr="00C95F33" w:rsidRDefault="008671BE" w:rsidP="0059250C">
            <w:pPr>
              <w:pStyle w:val="Institutionquisigne"/>
              <w:spacing w:before="0"/>
              <w:jc w:val="center"/>
              <w:rPr>
                <w:i w:val="0"/>
                <w:noProof/>
                <w:sz w:val="20"/>
              </w:rPr>
            </w:pPr>
            <w:r w:rsidRPr="00C95F33">
              <w:rPr>
                <w:i w:val="0"/>
                <w:noProof/>
                <w:sz w:val="20"/>
              </w:rPr>
              <w:t>Beneficiary of the operation</w:t>
            </w:r>
          </w:p>
        </w:tc>
        <w:tc>
          <w:tcPr>
            <w:tcW w:w="1134" w:type="dxa"/>
            <w:vAlign w:val="center"/>
          </w:tcPr>
          <w:p w14:paraId="0B4744DE" w14:textId="77777777" w:rsidR="008671BE" w:rsidRPr="00C95F33" w:rsidRDefault="008671BE" w:rsidP="0059250C">
            <w:pPr>
              <w:pStyle w:val="Institutionquisigne"/>
              <w:spacing w:before="0"/>
              <w:jc w:val="center"/>
              <w:rPr>
                <w:i w:val="0"/>
                <w:noProof/>
                <w:sz w:val="20"/>
              </w:rPr>
            </w:pPr>
            <w:r w:rsidRPr="00C95F33">
              <w:rPr>
                <w:i w:val="0"/>
                <w:noProof/>
                <w:sz w:val="20"/>
              </w:rPr>
              <w:t>Objective of the operation</w:t>
            </w:r>
          </w:p>
        </w:tc>
        <w:tc>
          <w:tcPr>
            <w:tcW w:w="1559" w:type="dxa"/>
            <w:vAlign w:val="center"/>
          </w:tcPr>
          <w:p w14:paraId="4829A0CF" w14:textId="77777777" w:rsidR="008671BE" w:rsidRPr="00C95F33" w:rsidRDefault="008671BE" w:rsidP="0059250C">
            <w:pPr>
              <w:pStyle w:val="Institutionquisigne"/>
              <w:spacing w:before="0"/>
              <w:jc w:val="center"/>
              <w:rPr>
                <w:i w:val="0"/>
                <w:noProof/>
                <w:sz w:val="20"/>
              </w:rPr>
            </w:pPr>
            <w:r w:rsidRPr="00C95F33">
              <w:rPr>
                <w:i w:val="0"/>
                <w:noProof/>
                <w:sz w:val="20"/>
              </w:rPr>
              <w:t>Implementation period</w:t>
            </w:r>
          </w:p>
        </w:tc>
        <w:tc>
          <w:tcPr>
            <w:tcW w:w="992" w:type="dxa"/>
            <w:vAlign w:val="center"/>
          </w:tcPr>
          <w:p w14:paraId="000B0CD4" w14:textId="77777777" w:rsidR="008671BE" w:rsidRPr="00C95F33" w:rsidRDefault="008671BE" w:rsidP="0059250C">
            <w:pPr>
              <w:pStyle w:val="Institutionquisigne"/>
              <w:spacing w:before="0"/>
              <w:jc w:val="center"/>
              <w:rPr>
                <w:i w:val="0"/>
                <w:noProof/>
                <w:sz w:val="20"/>
              </w:rPr>
            </w:pPr>
            <w:r w:rsidRPr="00C95F33">
              <w:rPr>
                <w:i w:val="0"/>
                <w:noProof/>
                <w:sz w:val="20"/>
              </w:rPr>
              <w:t>Co-financing rate</w:t>
            </w:r>
          </w:p>
        </w:tc>
        <w:tc>
          <w:tcPr>
            <w:tcW w:w="1134" w:type="dxa"/>
            <w:vAlign w:val="center"/>
          </w:tcPr>
          <w:p w14:paraId="42F7DC82" w14:textId="77777777" w:rsidR="008671BE" w:rsidRPr="00C95F33" w:rsidRDefault="008671BE" w:rsidP="0059250C">
            <w:pPr>
              <w:pStyle w:val="Institutionquisigne"/>
              <w:spacing w:before="0"/>
              <w:jc w:val="center"/>
              <w:rPr>
                <w:i w:val="0"/>
                <w:noProof/>
                <w:sz w:val="20"/>
              </w:rPr>
            </w:pPr>
            <w:r w:rsidRPr="00C95F33">
              <w:rPr>
                <w:i w:val="0"/>
                <w:noProof/>
                <w:sz w:val="20"/>
              </w:rPr>
              <w:t>Eligible costs</w:t>
            </w:r>
            <w:r w:rsidRPr="00C95F33">
              <w:rPr>
                <w:rStyle w:val="Appelnotedebasdep"/>
                <w:b/>
                <w:i w:val="0"/>
                <w:noProof/>
                <w:sz w:val="20"/>
              </w:rPr>
              <w:footnoteReference w:id="22"/>
            </w:r>
          </w:p>
        </w:tc>
        <w:tc>
          <w:tcPr>
            <w:tcW w:w="1243" w:type="dxa"/>
            <w:vAlign w:val="center"/>
          </w:tcPr>
          <w:p w14:paraId="39D3499C" w14:textId="77777777" w:rsidR="008671BE" w:rsidRPr="00C95F33" w:rsidRDefault="008671BE" w:rsidP="0059250C">
            <w:pPr>
              <w:pStyle w:val="Institutionquisigne"/>
              <w:spacing w:before="0"/>
              <w:jc w:val="center"/>
              <w:rPr>
                <w:i w:val="0"/>
                <w:noProof/>
                <w:sz w:val="20"/>
              </w:rPr>
            </w:pPr>
            <w:r w:rsidRPr="00C95F33">
              <w:rPr>
                <w:i w:val="0"/>
                <w:noProof/>
                <w:sz w:val="20"/>
              </w:rPr>
              <w:t>Eligible expenditure</w:t>
            </w:r>
            <w:r w:rsidRPr="00C95F33">
              <w:rPr>
                <w:rStyle w:val="Appelnotedebasdep"/>
                <w:b/>
                <w:i w:val="0"/>
                <w:noProof/>
                <w:sz w:val="20"/>
              </w:rPr>
              <w:footnoteReference w:id="23"/>
            </w:r>
          </w:p>
        </w:tc>
      </w:tr>
      <w:tr w:rsidR="00C95F33" w:rsidRPr="00C95F33" w14:paraId="28F32C1B" w14:textId="77777777" w:rsidTr="00151819">
        <w:trPr>
          <w:trHeight w:val="255"/>
        </w:trPr>
        <w:tc>
          <w:tcPr>
            <w:tcW w:w="959" w:type="dxa"/>
            <w:vAlign w:val="center"/>
          </w:tcPr>
          <w:p w14:paraId="31D18039" w14:textId="77777777" w:rsidR="008671BE" w:rsidRPr="00C95F33" w:rsidRDefault="008671BE" w:rsidP="0059250C">
            <w:pPr>
              <w:pStyle w:val="Institutionquisigne"/>
              <w:spacing w:before="0"/>
              <w:rPr>
                <w:i w:val="0"/>
                <w:noProof/>
                <w:sz w:val="22"/>
              </w:rPr>
            </w:pPr>
          </w:p>
        </w:tc>
        <w:tc>
          <w:tcPr>
            <w:tcW w:w="992" w:type="dxa"/>
            <w:vAlign w:val="center"/>
          </w:tcPr>
          <w:p w14:paraId="4D30C839" w14:textId="77777777" w:rsidR="008671BE" w:rsidRPr="00C95F33" w:rsidRDefault="008671BE" w:rsidP="0059250C">
            <w:pPr>
              <w:pStyle w:val="Institutionquisigne"/>
              <w:spacing w:before="0"/>
              <w:jc w:val="center"/>
              <w:rPr>
                <w:noProof/>
              </w:rPr>
            </w:pPr>
          </w:p>
        </w:tc>
        <w:tc>
          <w:tcPr>
            <w:tcW w:w="1276" w:type="dxa"/>
          </w:tcPr>
          <w:p w14:paraId="637E116A" w14:textId="77777777" w:rsidR="008671BE" w:rsidRPr="00C95F33" w:rsidRDefault="008671BE" w:rsidP="0059250C">
            <w:pPr>
              <w:pStyle w:val="Institutionquisigne"/>
              <w:spacing w:before="0"/>
              <w:jc w:val="center"/>
              <w:rPr>
                <w:noProof/>
              </w:rPr>
            </w:pPr>
          </w:p>
        </w:tc>
        <w:tc>
          <w:tcPr>
            <w:tcW w:w="1134" w:type="dxa"/>
            <w:vAlign w:val="center"/>
          </w:tcPr>
          <w:p w14:paraId="766F001F" w14:textId="77777777" w:rsidR="008671BE" w:rsidRPr="00C95F33" w:rsidRDefault="008671BE" w:rsidP="0059250C">
            <w:pPr>
              <w:pStyle w:val="Institutionquisigne"/>
              <w:spacing w:before="0"/>
              <w:jc w:val="center"/>
              <w:rPr>
                <w:noProof/>
              </w:rPr>
            </w:pPr>
          </w:p>
        </w:tc>
        <w:tc>
          <w:tcPr>
            <w:tcW w:w="1559" w:type="dxa"/>
            <w:vAlign w:val="center"/>
          </w:tcPr>
          <w:p w14:paraId="1B64A5B1" w14:textId="77777777" w:rsidR="008671BE" w:rsidRPr="00C95F33" w:rsidRDefault="008671BE" w:rsidP="0059250C">
            <w:pPr>
              <w:pStyle w:val="Institutionquisigne"/>
              <w:spacing w:before="0"/>
              <w:jc w:val="center"/>
              <w:rPr>
                <w:noProof/>
              </w:rPr>
            </w:pPr>
          </w:p>
        </w:tc>
        <w:tc>
          <w:tcPr>
            <w:tcW w:w="992" w:type="dxa"/>
          </w:tcPr>
          <w:p w14:paraId="7F3537A9" w14:textId="77777777" w:rsidR="008671BE" w:rsidRPr="00C95F33" w:rsidRDefault="008671BE" w:rsidP="0059250C">
            <w:pPr>
              <w:pStyle w:val="Institutionquisigne"/>
              <w:spacing w:before="0"/>
              <w:jc w:val="center"/>
              <w:rPr>
                <w:noProof/>
              </w:rPr>
            </w:pPr>
          </w:p>
        </w:tc>
        <w:tc>
          <w:tcPr>
            <w:tcW w:w="1134" w:type="dxa"/>
          </w:tcPr>
          <w:p w14:paraId="37A54FB9" w14:textId="77777777" w:rsidR="008671BE" w:rsidRPr="00C95F33" w:rsidRDefault="008671BE" w:rsidP="0059250C">
            <w:pPr>
              <w:pStyle w:val="Institutionquisigne"/>
              <w:spacing w:before="0"/>
              <w:jc w:val="center"/>
              <w:rPr>
                <w:noProof/>
              </w:rPr>
            </w:pPr>
          </w:p>
        </w:tc>
        <w:tc>
          <w:tcPr>
            <w:tcW w:w="1243" w:type="dxa"/>
          </w:tcPr>
          <w:p w14:paraId="5BF03376" w14:textId="77777777" w:rsidR="008671BE" w:rsidRPr="00C95F33" w:rsidRDefault="008671BE" w:rsidP="0059250C">
            <w:pPr>
              <w:pStyle w:val="Institutionquisigne"/>
              <w:spacing w:before="0"/>
              <w:jc w:val="center"/>
              <w:rPr>
                <w:noProof/>
              </w:rPr>
            </w:pPr>
          </w:p>
        </w:tc>
      </w:tr>
    </w:tbl>
    <w:p w14:paraId="13EFD36A" w14:textId="6B042A65" w:rsidR="00AD502C" w:rsidRPr="00C95F33" w:rsidRDefault="00457D1B" w:rsidP="00457D1B">
      <w:pPr>
        <w:pStyle w:val="ManualHeading2"/>
        <w:rPr>
          <w:noProof/>
        </w:rPr>
      </w:pPr>
      <w:r w:rsidRPr="00C95F33">
        <w:t>2.3.</w:t>
      </w:r>
      <w:r w:rsidRPr="00C95F33">
        <w:tab/>
      </w:r>
      <w:r w:rsidR="00AD502C" w:rsidRPr="00C95F33">
        <w:rPr>
          <w:noProof/>
        </w:rPr>
        <w:t>Multiannual planning for the purchase of equipment – Article 13(14)</w:t>
      </w:r>
      <w:r w:rsidR="002F1935" w:rsidRPr="00C95F33">
        <w:rPr>
          <w:noProof/>
        </w:rPr>
        <w:t>,</w:t>
      </w:r>
      <w:r w:rsidR="00AD502C" w:rsidRPr="00C95F33">
        <w:rPr>
          <w:noProof/>
        </w:rPr>
        <w:t xml:space="preserve"> point </w:t>
      </w:r>
      <w:r w:rsidR="002F1935" w:rsidRPr="00C95F33">
        <w:rPr>
          <w:noProof/>
        </w:rPr>
        <w:t>(</w:t>
      </w:r>
      <w:r w:rsidR="00AD502C" w:rsidRPr="00C95F33">
        <w:rPr>
          <w:noProof/>
        </w:rPr>
        <w:t>d</w:t>
      </w:r>
      <w:r w:rsidR="002F1935" w:rsidRPr="00C95F33">
        <w:rPr>
          <w:noProof/>
        </w:rPr>
        <w:t>),</w:t>
      </w:r>
      <w:r w:rsidR="00AD502C" w:rsidRPr="00C95F33">
        <w:rPr>
          <w:noProof/>
        </w:rPr>
        <w:t xml:space="preserve"> of Regulation (EU) 2021/1148</w:t>
      </w:r>
    </w:p>
    <w:p w14:paraId="728E478C" w14:textId="77777777" w:rsidR="00AD502C" w:rsidRPr="00C95F33" w:rsidRDefault="00F12B44" w:rsidP="00AD502C">
      <w:pPr>
        <w:rPr>
          <w:noProof/>
          <w:sz w:val="22"/>
        </w:rPr>
      </w:pPr>
      <w:r w:rsidRPr="00C95F33">
        <w:rPr>
          <w:noProof/>
          <w:sz w:val="22"/>
        </w:rPr>
        <w:t>S</w:t>
      </w:r>
      <w:r w:rsidR="00305958" w:rsidRPr="00C95F33">
        <w:rPr>
          <w:noProof/>
          <w:sz w:val="22"/>
        </w:rPr>
        <w:t xml:space="preserve">et out </w:t>
      </w:r>
      <w:r w:rsidR="00AD502C" w:rsidRPr="00C95F33">
        <w:rPr>
          <w:noProof/>
          <w:sz w:val="22"/>
        </w:rPr>
        <w:t xml:space="preserve">the multiannual planning for the </w:t>
      </w:r>
      <w:r w:rsidR="00305958" w:rsidRPr="00C95F33">
        <w:rPr>
          <w:noProof/>
          <w:sz w:val="22"/>
        </w:rPr>
        <w:t xml:space="preserve">expected purchase of </w:t>
      </w:r>
      <w:r w:rsidR="00AD502C" w:rsidRPr="00C95F33">
        <w:rPr>
          <w:noProof/>
          <w:sz w:val="22"/>
        </w:rPr>
        <w:t xml:space="preserve">equipment under the </w:t>
      </w:r>
      <w:r w:rsidR="00305958" w:rsidRPr="00C95F33">
        <w:rPr>
          <w:noProof/>
          <w:sz w:val="22"/>
        </w:rPr>
        <w:t>i</w:t>
      </w:r>
      <w:r w:rsidR="00AD502C" w:rsidRPr="00C95F33">
        <w:rPr>
          <w:noProof/>
          <w:sz w:val="22"/>
        </w:rPr>
        <w:t xml:space="preserve">nstrument. </w:t>
      </w:r>
    </w:p>
    <w:tbl>
      <w:tblPr>
        <w:tblStyle w:val="Grilledutableau"/>
        <w:tblW w:w="0" w:type="auto"/>
        <w:tblLook w:val="04A0" w:firstRow="1" w:lastRow="0" w:firstColumn="1" w:lastColumn="0" w:noHBand="0" w:noVBand="1"/>
      </w:tblPr>
      <w:tblGrid>
        <w:gridCol w:w="9289"/>
      </w:tblGrid>
      <w:tr w:rsidR="00C95F33" w:rsidRPr="00C95F33" w14:paraId="7354CD64" w14:textId="77777777" w:rsidTr="00E45665">
        <w:tc>
          <w:tcPr>
            <w:tcW w:w="9289" w:type="dxa"/>
          </w:tcPr>
          <w:p w14:paraId="0740A268" w14:textId="2E1B6311" w:rsidR="00C71006" w:rsidRPr="00C95F33" w:rsidRDefault="00C71006" w:rsidP="002832BE">
            <w:pPr>
              <w:pStyle w:val="Personnequisigne"/>
              <w:spacing w:before="100" w:beforeAutospacing="1" w:after="100" w:afterAutospacing="1"/>
              <w:jc w:val="both"/>
              <w:rPr>
                <w:noProof/>
              </w:rPr>
            </w:pPr>
            <w:r w:rsidRPr="00C95F33">
              <w:rPr>
                <w:noProof/>
              </w:rPr>
              <w:t>Currently, there is only 1 BMVI-project which foresees in the purchase of equipment, notably</w:t>
            </w:r>
            <w:r w:rsidR="00D50684" w:rsidRPr="00C95F33">
              <w:rPr>
                <w:noProof/>
              </w:rPr>
              <w:t xml:space="preserve"> the acquisition of 40 new e-gates for Brussels National Airport Zaventum, Gosselie</w:t>
            </w:r>
            <w:r w:rsidR="009A235E" w:rsidRPr="00C95F33">
              <w:rPr>
                <w:noProof/>
              </w:rPr>
              <w:t>s Airport (Brussels Charleroi) a</w:t>
            </w:r>
            <w:r w:rsidR="00D50684" w:rsidRPr="00C95F33">
              <w:rPr>
                <w:noProof/>
              </w:rPr>
              <w:t>n</w:t>
            </w:r>
            <w:r w:rsidR="009A235E" w:rsidRPr="00C95F33">
              <w:rPr>
                <w:noProof/>
              </w:rPr>
              <w:t>d</w:t>
            </w:r>
            <w:r w:rsidR="00D50684" w:rsidRPr="00C95F33">
              <w:rPr>
                <w:noProof/>
              </w:rPr>
              <w:t xml:space="preserve"> Brussels Midi Train Station. As things currently </w:t>
            </w:r>
            <w:r w:rsidR="002832BE" w:rsidRPr="00C95F33">
              <w:rPr>
                <w:noProof/>
              </w:rPr>
              <w:t>stand, the public procurement procedure is expected to be awarded during Q2 2024, after which the e-gates will be purchased / installed.</w:t>
            </w:r>
          </w:p>
          <w:p w14:paraId="575BAEFC" w14:textId="48CD4E46" w:rsidR="002832BE" w:rsidRPr="00C95F33" w:rsidRDefault="002832BE" w:rsidP="002832BE">
            <w:pPr>
              <w:pStyle w:val="Institutionquisigne"/>
              <w:spacing w:before="100" w:beforeAutospacing="1" w:after="100" w:afterAutospacing="1"/>
            </w:pPr>
          </w:p>
        </w:tc>
      </w:tr>
    </w:tbl>
    <w:p w14:paraId="175858FC" w14:textId="601D9C5B" w:rsidR="00AD502C" w:rsidRPr="00C95F33" w:rsidRDefault="00457D1B" w:rsidP="00457D1B">
      <w:pPr>
        <w:pStyle w:val="ManualHeading1"/>
        <w:rPr>
          <w:noProof/>
        </w:rPr>
      </w:pPr>
      <w:r w:rsidRPr="00C95F33">
        <w:lastRenderedPageBreak/>
        <w:t>3.</w:t>
      </w:r>
      <w:r w:rsidRPr="00C95F33">
        <w:tab/>
      </w:r>
      <w:r w:rsidR="00AD502C" w:rsidRPr="00C95F33">
        <w:rPr>
          <w:noProof/>
        </w:rPr>
        <w:t xml:space="preserve">Implementation of </w:t>
      </w:r>
      <w:r w:rsidR="0071685A" w:rsidRPr="00C95F33">
        <w:rPr>
          <w:noProof/>
        </w:rPr>
        <w:t xml:space="preserve">the </w:t>
      </w:r>
      <w:r w:rsidR="000858E5" w:rsidRPr="00C95F33">
        <w:rPr>
          <w:noProof/>
        </w:rPr>
        <w:t xml:space="preserve">Union </w:t>
      </w:r>
      <w:r w:rsidR="00AD502C" w:rsidRPr="00C95F33">
        <w:rPr>
          <w:i/>
          <w:noProof/>
        </w:rPr>
        <w:t>acquis</w:t>
      </w:r>
      <w:r w:rsidR="00AD502C" w:rsidRPr="00C95F33">
        <w:rPr>
          <w:noProof/>
        </w:rPr>
        <w:t xml:space="preserve"> – </w:t>
      </w:r>
      <w:r w:rsidR="00DF77FD" w:rsidRPr="00C95F33">
        <w:rPr>
          <w:noProof/>
        </w:rPr>
        <w:t>A</w:t>
      </w:r>
      <w:r w:rsidR="00AD502C" w:rsidRPr="00C95F33">
        <w:rPr>
          <w:noProof/>
        </w:rPr>
        <w:t>rticle 29(2)</w:t>
      </w:r>
      <w:r w:rsidR="002F1935" w:rsidRPr="00C95F33">
        <w:rPr>
          <w:noProof/>
        </w:rPr>
        <w:t>,</w:t>
      </w:r>
      <w:r w:rsidR="00AD502C" w:rsidRPr="00C95F33">
        <w:rPr>
          <w:noProof/>
        </w:rPr>
        <w:t xml:space="preserve"> point (d)</w:t>
      </w:r>
      <w:r w:rsidR="002F1935" w:rsidRPr="00C95F33">
        <w:rPr>
          <w:noProof/>
        </w:rPr>
        <w:t>,</w:t>
      </w:r>
      <w:r w:rsidR="00AD502C" w:rsidRPr="00C95F33">
        <w:rPr>
          <w:noProof/>
        </w:rPr>
        <w:t xml:space="preserve"> of Regulation (EU) 2021/1148</w:t>
      </w:r>
    </w:p>
    <w:p w14:paraId="335A8581" w14:textId="59C8A851" w:rsidR="00AD502C" w:rsidRPr="00C95F33" w:rsidRDefault="00F12B44" w:rsidP="00AD502C">
      <w:pPr>
        <w:rPr>
          <w:noProof/>
          <w:sz w:val="22"/>
        </w:rPr>
      </w:pPr>
      <w:r w:rsidRPr="00C95F33">
        <w:rPr>
          <w:noProof/>
          <w:sz w:val="22"/>
        </w:rPr>
        <w:t>Describe</w:t>
      </w:r>
      <w:r w:rsidR="00AD502C" w:rsidRPr="00C95F33">
        <w:rPr>
          <w:noProof/>
          <w:sz w:val="22"/>
        </w:rPr>
        <w:t xml:space="preserve"> </w:t>
      </w:r>
      <w:r w:rsidR="00DF77FD" w:rsidRPr="00C95F33">
        <w:rPr>
          <w:noProof/>
          <w:sz w:val="22"/>
        </w:rPr>
        <w:t xml:space="preserve">briefly how, </w:t>
      </w:r>
      <w:r w:rsidR="00AD502C" w:rsidRPr="00C95F33">
        <w:rPr>
          <w:noProof/>
          <w:sz w:val="22"/>
        </w:rPr>
        <w:t>during the accounting year</w:t>
      </w:r>
      <w:r w:rsidR="00DF77FD" w:rsidRPr="00C95F33">
        <w:rPr>
          <w:noProof/>
          <w:sz w:val="22"/>
        </w:rPr>
        <w:t>, the programme contributed</w:t>
      </w:r>
      <w:r w:rsidR="00AD502C" w:rsidRPr="00C95F33">
        <w:rPr>
          <w:noProof/>
          <w:sz w:val="22"/>
        </w:rPr>
        <w:t xml:space="preserve"> to implement</w:t>
      </w:r>
      <w:r w:rsidR="00DF77FD" w:rsidRPr="00C95F33">
        <w:rPr>
          <w:noProof/>
          <w:sz w:val="22"/>
        </w:rPr>
        <w:t>ing</w:t>
      </w:r>
      <w:r w:rsidR="00AD502C" w:rsidRPr="00C95F33">
        <w:rPr>
          <w:noProof/>
          <w:sz w:val="22"/>
        </w:rPr>
        <w:t xml:space="preserve"> the relevant </w:t>
      </w:r>
      <w:r w:rsidR="000858E5" w:rsidRPr="00C95F33">
        <w:rPr>
          <w:noProof/>
          <w:sz w:val="22"/>
        </w:rPr>
        <w:t>Union </w:t>
      </w:r>
      <w:r w:rsidR="00AD502C" w:rsidRPr="00C95F33">
        <w:rPr>
          <w:i/>
          <w:noProof/>
          <w:sz w:val="22"/>
        </w:rPr>
        <w:t>acquis</w:t>
      </w:r>
      <w:r w:rsidR="00AD502C" w:rsidRPr="00C95F33">
        <w:rPr>
          <w:noProof/>
          <w:sz w:val="22"/>
        </w:rPr>
        <w:t xml:space="preserve"> </w:t>
      </w:r>
      <w:r w:rsidR="00DF77FD" w:rsidRPr="00C95F33">
        <w:rPr>
          <w:noProof/>
          <w:sz w:val="22"/>
        </w:rPr>
        <w:t xml:space="preserve">(the body of </w:t>
      </w:r>
      <w:r w:rsidR="000858E5" w:rsidRPr="00C95F33">
        <w:rPr>
          <w:noProof/>
          <w:sz w:val="22"/>
        </w:rPr>
        <w:t xml:space="preserve">Union </w:t>
      </w:r>
      <w:r w:rsidR="00DF77FD" w:rsidRPr="00C95F33">
        <w:rPr>
          <w:noProof/>
          <w:sz w:val="22"/>
        </w:rPr>
        <w:t>law),</w:t>
      </w:r>
      <w:r w:rsidR="00AD502C" w:rsidRPr="00C95F33">
        <w:rPr>
          <w:noProof/>
          <w:sz w:val="22"/>
        </w:rPr>
        <w:t xml:space="preserve"> especially </w:t>
      </w:r>
      <w:r w:rsidR="00DF77FD" w:rsidRPr="00C95F33">
        <w:rPr>
          <w:noProof/>
          <w:sz w:val="22"/>
        </w:rPr>
        <w:t>on</w:t>
      </w:r>
      <w:r w:rsidR="00AD502C" w:rsidRPr="00C95F33">
        <w:rPr>
          <w:noProof/>
          <w:sz w:val="22"/>
        </w:rPr>
        <w:t xml:space="preserve"> Schengen, border management and visa policy</w:t>
      </w:r>
      <w:r w:rsidR="00DF77FD" w:rsidRPr="00C95F33">
        <w:rPr>
          <w:noProof/>
          <w:sz w:val="22"/>
        </w:rPr>
        <w:t>,</w:t>
      </w:r>
      <w:r w:rsidR="00AD502C" w:rsidRPr="00C95F33">
        <w:rPr>
          <w:noProof/>
          <w:sz w:val="22"/>
        </w:rPr>
        <w:t xml:space="preserve"> </w:t>
      </w:r>
      <w:r w:rsidR="00DF77FD" w:rsidRPr="00C95F33">
        <w:rPr>
          <w:noProof/>
          <w:sz w:val="22"/>
        </w:rPr>
        <w:t>and</w:t>
      </w:r>
      <w:r w:rsidR="00AD502C" w:rsidRPr="00C95F33">
        <w:rPr>
          <w:noProof/>
          <w:sz w:val="22"/>
        </w:rPr>
        <w:t xml:space="preserve"> </w:t>
      </w:r>
      <w:r w:rsidR="001D175D" w:rsidRPr="00C95F33">
        <w:rPr>
          <w:noProof/>
          <w:sz w:val="22"/>
        </w:rPr>
        <w:t>to</w:t>
      </w:r>
      <w:r w:rsidR="00AD502C" w:rsidRPr="00C95F33">
        <w:rPr>
          <w:noProof/>
          <w:sz w:val="22"/>
        </w:rPr>
        <w:t xml:space="preserve"> any relevant action plans.</w:t>
      </w:r>
    </w:p>
    <w:tbl>
      <w:tblPr>
        <w:tblStyle w:val="Grilledutableau"/>
        <w:tblW w:w="0" w:type="auto"/>
        <w:tblLook w:val="04A0" w:firstRow="1" w:lastRow="0" w:firstColumn="1" w:lastColumn="0" w:noHBand="0" w:noVBand="1"/>
      </w:tblPr>
      <w:tblGrid>
        <w:gridCol w:w="9289"/>
      </w:tblGrid>
      <w:tr w:rsidR="00C95F33" w:rsidRPr="00C95F33" w14:paraId="19CB3DC9" w14:textId="77777777" w:rsidTr="00E45665">
        <w:tc>
          <w:tcPr>
            <w:tcW w:w="9289" w:type="dxa"/>
          </w:tcPr>
          <w:p w14:paraId="3814E804" w14:textId="0964A9DF" w:rsidR="00AD502C" w:rsidRPr="00C95F33" w:rsidRDefault="003D6DE4" w:rsidP="000F1478">
            <w:pPr>
              <w:pStyle w:val="Personnequisigne"/>
              <w:jc w:val="both"/>
              <w:rPr>
                <w:noProof/>
              </w:rPr>
            </w:pPr>
            <w:r w:rsidRPr="00C95F33">
              <w:rPr>
                <w:noProof/>
              </w:rPr>
              <w:t>As mentioned under point 1.1,</w:t>
            </w:r>
            <w:r w:rsidR="002E6AD7" w:rsidRPr="00C95F33">
              <w:rPr>
                <w:noProof/>
              </w:rPr>
              <w:t xml:space="preserve"> the large majority of the project currently financed under BE’s BMVI NP are focusing on the continued development and implementation of the different EU Smar</w:t>
            </w:r>
            <w:r w:rsidR="002442EE" w:rsidRPr="00C95F33">
              <w:rPr>
                <w:noProof/>
              </w:rPr>
              <w:t>t Borders systems, thereby complying with and ensuring the full implementation of respectively:</w:t>
            </w:r>
          </w:p>
          <w:p w14:paraId="7983B0C2" w14:textId="5323E366" w:rsidR="000F1478" w:rsidRPr="00C95F33" w:rsidRDefault="002442EE" w:rsidP="000F1478">
            <w:pPr>
              <w:pStyle w:val="Institutionquisigne"/>
              <w:numPr>
                <w:ilvl w:val="0"/>
                <w:numId w:val="47"/>
              </w:numPr>
              <w:spacing w:before="100" w:beforeAutospacing="1" w:after="100" w:afterAutospacing="1"/>
              <w:ind w:left="714" w:hanging="357"/>
            </w:pPr>
            <w:r w:rsidRPr="00C95F33">
              <w:t>Regulation (EU) 2018/1240 of</w:t>
            </w:r>
            <w:r w:rsidR="000F1478" w:rsidRPr="00C95F33">
              <w:t xml:space="preserve"> </w:t>
            </w:r>
            <w:r w:rsidRPr="00C95F33">
              <w:t>the European Parliament and of the Council of 12 September 2018 establishing a European Travel</w:t>
            </w:r>
            <w:r w:rsidR="000F1478" w:rsidRPr="00C95F33">
              <w:t xml:space="preserve"> </w:t>
            </w:r>
            <w:r w:rsidRPr="00C95F33">
              <w:t>Information a</w:t>
            </w:r>
            <w:r w:rsidR="00795D58" w:rsidRPr="00C95F33">
              <w:t>nd Authorization System (ETIAS).</w:t>
            </w:r>
          </w:p>
          <w:p w14:paraId="2CDAE711" w14:textId="0A0B2659" w:rsidR="002442EE" w:rsidRPr="00C95F33" w:rsidRDefault="002442EE" w:rsidP="000F1478">
            <w:pPr>
              <w:pStyle w:val="Institutionquisigne"/>
              <w:numPr>
                <w:ilvl w:val="0"/>
                <w:numId w:val="47"/>
              </w:numPr>
              <w:spacing w:before="100" w:beforeAutospacing="1" w:after="100" w:afterAutospacing="1"/>
              <w:ind w:left="714" w:hanging="357"/>
            </w:pPr>
            <w:r w:rsidRPr="00C95F33">
              <w:t>Regulation (EU) 2017/2226 of</w:t>
            </w:r>
            <w:r w:rsidR="000F1478" w:rsidRPr="00C95F33">
              <w:t xml:space="preserve"> </w:t>
            </w:r>
            <w:r w:rsidRPr="00C95F33">
              <w:t>the European Parliament and of the Council of 30 November 2017 establishing an Entry/Exit</w:t>
            </w:r>
            <w:r w:rsidR="000F1478" w:rsidRPr="00C95F33">
              <w:t xml:space="preserve"> </w:t>
            </w:r>
            <w:r w:rsidR="00795D58" w:rsidRPr="00C95F33">
              <w:t>System (EES).</w:t>
            </w:r>
          </w:p>
          <w:p w14:paraId="0B5C5EBE" w14:textId="6147588A" w:rsidR="000F1478" w:rsidRPr="00C95F33" w:rsidRDefault="000F1478" w:rsidP="00FC5A4A">
            <w:pPr>
              <w:pStyle w:val="Personnequisigne"/>
              <w:numPr>
                <w:ilvl w:val="0"/>
                <w:numId w:val="47"/>
              </w:numPr>
            </w:pPr>
            <w:r w:rsidRPr="00C95F33">
              <w:t>Regulation (EU) 2018/1861 of the European Par</w:t>
            </w:r>
            <w:r w:rsidR="00795D58" w:rsidRPr="00C95F33">
              <w:t>liament and o</w:t>
            </w:r>
            <w:r w:rsidRPr="00C95F33">
              <w:t>f the Council of 28 November 2018 on the establishment, operation and use of the Schengen Information System (SIS in the field</w:t>
            </w:r>
            <w:r w:rsidR="00795D58" w:rsidRPr="00C95F33">
              <w:t xml:space="preserve"> of border checks (SIS RECAST)).</w:t>
            </w:r>
          </w:p>
          <w:p w14:paraId="091C8A17" w14:textId="0E1E7D95" w:rsidR="00795D58" w:rsidRPr="00C95F33" w:rsidRDefault="00795D58" w:rsidP="00E73DD6">
            <w:pPr>
              <w:pStyle w:val="Personnequisigne"/>
              <w:numPr>
                <w:ilvl w:val="0"/>
                <w:numId w:val="47"/>
              </w:numPr>
            </w:pPr>
            <w:r w:rsidRPr="00C95F33">
              <w:t>Regulation (EU) 2021/1133 of the European Parliament and of the Council of 7 July 2021</w:t>
            </w:r>
            <w:r w:rsidR="00D24C3F" w:rsidRPr="00C95F33">
              <w:t xml:space="preserve"> </w:t>
            </w:r>
            <w:r w:rsidRPr="00C95F33">
              <w:t>amending the Visa Information System (VIS) Regulations.</w:t>
            </w:r>
          </w:p>
          <w:p w14:paraId="5FAF9941" w14:textId="340EF347" w:rsidR="00795D58" w:rsidRPr="00C95F33" w:rsidRDefault="00795D58" w:rsidP="00795D58">
            <w:pPr>
              <w:pStyle w:val="Personnequisigne"/>
              <w:numPr>
                <w:ilvl w:val="0"/>
                <w:numId w:val="47"/>
              </w:numPr>
            </w:pPr>
            <w:r w:rsidRPr="00C95F33">
              <w:t>Regulation (EU) 2019/817 of the European Parliament and of the Council of 20 May 2019 on establishing a framework for interoperability between EU information systems in the field of borders and visa.</w:t>
            </w:r>
          </w:p>
          <w:p w14:paraId="480CDC92" w14:textId="77777777" w:rsidR="00A8089E" w:rsidRPr="00C95F33" w:rsidRDefault="009A235E" w:rsidP="008834EB">
            <w:pPr>
              <w:pStyle w:val="Institutionquisigne"/>
              <w:spacing w:before="100" w:beforeAutospacing="1" w:after="100" w:afterAutospacing="1"/>
            </w:pPr>
            <w:r w:rsidRPr="00C95F33">
              <w:t>In addition, with the project ‘EUROSUR BIS FASE II’</w:t>
            </w:r>
            <w:r w:rsidR="002E75F5" w:rsidRPr="00C95F33">
              <w:t xml:space="preserve"> the Belgian Federal Police aims to comply with the requirements of the new Frontex Regulation (</w:t>
            </w:r>
            <w:r w:rsidR="00ED5FE0" w:rsidRPr="00C95F33">
              <w:t>Regulation (EU) 2019/1896 of the European Parliament and of the Council of 13 November 2019 on the European Border and Coast Guard (</w:t>
            </w:r>
            <w:r w:rsidR="002E75F5" w:rsidRPr="00C95F33">
              <w:t>EBCGA</w:t>
            </w:r>
            <w:r w:rsidR="00ED5FE0" w:rsidRPr="00C95F33">
              <w:t>)</w:t>
            </w:r>
            <w:r w:rsidR="002E75F5" w:rsidRPr="00C95F33">
              <w:t>) by ensuring the necessary changes to available IT processes</w:t>
            </w:r>
            <w:r w:rsidR="002E6AD7" w:rsidRPr="00C95F33">
              <w:t>, upgrading the network and improving its security level. The 1</w:t>
            </w:r>
            <w:r w:rsidR="002E6AD7" w:rsidRPr="00C95F33">
              <w:rPr>
                <w:vertAlign w:val="superscript"/>
              </w:rPr>
              <w:t>st</w:t>
            </w:r>
            <w:r w:rsidR="002E6AD7" w:rsidRPr="00C95F33">
              <w:t xml:space="preserve"> phase of this project was</w:t>
            </w:r>
            <w:r w:rsidR="008834EB" w:rsidRPr="00C95F33">
              <w:t xml:space="preserve"> already</w:t>
            </w:r>
            <w:r w:rsidR="002E6AD7" w:rsidRPr="00C95F33">
              <w:t xml:space="preserve"> financed under ISF Borders in the previous programming period (2014-2020)</w:t>
            </w:r>
            <w:r w:rsidR="008834EB" w:rsidRPr="00C95F33">
              <w:t>.</w:t>
            </w:r>
          </w:p>
          <w:p w14:paraId="32C0640E" w14:textId="3F26A175" w:rsidR="008834EB" w:rsidRPr="00C95F33" w:rsidRDefault="008834EB" w:rsidP="008834EB">
            <w:pPr>
              <w:pStyle w:val="Personnequisigne"/>
              <w:rPr>
                <w:highlight w:val="yellow"/>
              </w:rPr>
            </w:pPr>
          </w:p>
        </w:tc>
      </w:tr>
    </w:tbl>
    <w:p w14:paraId="250E138D" w14:textId="0B1C84C1" w:rsidR="00AD502C" w:rsidRPr="00C95F33" w:rsidRDefault="00457D1B" w:rsidP="00457D1B">
      <w:pPr>
        <w:pStyle w:val="ManualHeading1"/>
        <w:rPr>
          <w:noProof/>
        </w:rPr>
      </w:pPr>
      <w:r w:rsidRPr="00C95F33">
        <w:t>4.</w:t>
      </w:r>
      <w:r w:rsidRPr="00C95F33">
        <w:tab/>
      </w:r>
      <w:r w:rsidR="00AD502C" w:rsidRPr="00C95F33">
        <w:rPr>
          <w:noProof/>
        </w:rPr>
        <w:t xml:space="preserve">Communication and </w:t>
      </w:r>
      <w:r w:rsidR="000903CC" w:rsidRPr="00C95F33">
        <w:rPr>
          <w:noProof/>
        </w:rPr>
        <w:t>v</w:t>
      </w:r>
      <w:r w:rsidR="00AD502C" w:rsidRPr="00C95F33">
        <w:rPr>
          <w:noProof/>
        </w:rPr>
        <w:t>isibility – Article 29(2)</w:t>
      </w:r>
      <w:r w:rsidR="002F1935" w:rsidRPr="00C95F33">
        <w:rPr>
          <w:noProof/>
        </w:rPr>
        <w:t>,</w:t>
      </w:r>
      <w:r w:rsidR="00AD502C" w:rsidRPr="00C95F33">
        <w:rPr>
          <w:noProof/>
        </w:rPr>
        <w:t xml:space="preserve"> point (e)</w:t>
      </w:r>
      <w:r w:rsidR="002F1935" w:rsidRPr="00C95F33">
        <w:rPr>
          <w:noProof/>
        </w:rPr>
        <w:t>,</w:t>
      </w:r>
      <w:r w:rsidR="00AD502C" w:rsidRPr="00C95F33">
        <w:rPr>
          <w:noProof/>
        </w:rPr>
        <w:t xml:space="preserve"> of Regulation (EU) 2021/1148</w:t>
      </w:r>
    </w:p>
    <w:p w14:paraId="2810BF4C" w14:textId="77777777" w:rsidR="00AD502C" w:rsidRPr="00C95F33" w:rsidRDefault="00F12B44" w:rsidP="00AD502C">
      <w:pPr>
        <w:rPr>
          <w:noProof/>
          <w:sz w:val="22"/>
        </w:rPr>
      </w:pPr>
      <w:r w:rsidRPr="00C95F33">
        <w:rPr>
          <w:noProof/>
          <w:sz w:val="22"/>
        </w:rPr>
        <w:t>D</w:t>
      </w:r>
      <w:r w:rsidR="00AD502C" w:rsidRPr="00C95F33">
        <w:rPr>
          <w:noProof/>
          <w:sz w:val="22"/>
        </w:rPr>
        <w:t xml:space="preserve">escribe </w:t>
      </w:r>
      <w:r w:rsidR="00DF77FD" w:rsidRPr="00C95F33">
        <w:rPr>
          <w:noProof/>
          <w:sz w:val="22"/>
        </w:rPr>
        <w:t xml:space="preserve">how </w:t>
      </w:r>
      <w:r w:rsidR="00AD502C" w:rsidRPr="00C95F33">
        <w:rPr>
          <w:noProof/>
          <w:sz w:val="22"/>
        </w:rPr>
        <w:t xml:space="preserve">communication and visibility </w:t>
      </w:r>
      <w:r w:rsidR="0035484F" w:rsidRPr="00C95F33">
        <w:rPr>
          <w:noProof/>
          <w:sz w:val="22"/>
        </w:rPr>
        <w:t xml:space="preserve">activities were carried out </w:t>
      </w:r>
      <w:r w:rsidR="00AD502C" w:rsidRPr="00C95F33">
        <w:rPr>
          <w:noProof/>
          <w:sz w:val="22"/>
        </w:rPr>
        <w:t xml:space="preserve">during the accounting year. In particular, refer to any progress made in relation to the objectives </w:t>
      </w:r>
      <w:r w:rsidR="0071685A" w:rsidRPr="00C95F33">
        <w:rPr>
          <w:noProof/>
          <w:sz w:val="22"/>
        </w:rPr>
        <w:t xml:space="preserve">set out </w:t>
      </w:r>
      <w:r w:rsidR="00AD502C" w:rsidRPr="00C95F33">
        <w:rPr>
          <w:noProof/>
          <w:sz w:val="22"/>
        </w:rPr>
        <w:t>in the communication strategy</w:t>
      </w:r>
      <w:r w:rsidR="0035484F" w:rsidRPr="00C95F33">
        <w:rPr>
          <w:noProof/>
          <w:sz w:val="22"/>
        </w:rPr>
        <w:t>,</w:t>
      </w:r>
      <w:r w:rsidR="00AD502C" w:rsidRPr="00C95F33">
        <w:rPr>
          <w:noProof/>
          <w:sz w:val="22"/>
        </w:rPr>
        <w:t xml:space="preserve"> as measured by the relevant indicators and their targets. If relevant, describe </w:t>
      </w:r>
      <w:r w:rsidR="0035484F" w:rsidRPr="00C95F33">
        <w:rPr>
          <w:noProof/>
          <w:sz w:val="22"/>
        </w:rPr>
        <w:t>any</w:t>
      </w:r>
      <w:r w:rsidR="00AD502C" w:rsidRPr="00C95F33">
        <w:rPr>
          <w:noProof/>
          <w:sz w:val="22"/>
        </w:rPr>
        <w:t xml:space="preserve"> good practices in reaching out to the target groups and/or disseminating and exploiting the results of the projects.</w:t>
      </w:r>
    </w:p>
    <w:tbl>
      <w:tblPr>
        <w:tblStyle w:val="Grilledutableau"/>
        <w:tblW w:w="0" w:type="auto"/>
        <w:tblLook w:val="04A0" w:firstRow="1" w:lastRow="0" w:firstColumn="1" w:lastColumn="0" w:noHBand="0" w:noVBand="1"/>
      </w:tblPr>
      <w:tblGrid>
        <w:gridCol w:w="9289"/>
      </w:tblGrid>
      <w:tr w:rsidR="00C95F33" w:rsidRPr="00C95F33" w14:paraId="5C4BEE2B" w14:textId="77777777" w:rsidTr="00E45665">
        <w:tc>
          <w:tcPr>
            <w:tcW w:w="9289" w:type="dxa"/>
          </w:tcPr>
          <w:p w14:paraId="4BEDAE4B" w14:textId="77B4AA32" w:rsidR="00295D91" w:rsidRPr="00C95F33" w:rsidRDefault="00295D91" w:rsidP="00295D91">
            <w:pPr>
              <w:pStyle w:val="Personnequisigne"/>
              <w:numPr>
                <w:ilvl w:val="0"/>
                <w:numId w:val="43"/>
              </w:numPr>
              <w:rPr>
                <w:szCs w:val="24"/>
                <w:lang w:val="fr-BE"/>
              </w:rPr>
            </w:pPr>
            <w:r w:rsidRPr="00C95F33">
              <w:rPr>
                <w:szCs w:val="24"/>
                <w:lang w:val="fr-BE"/>
              </w:rPr>
              <w:t>Site internet (art. 49§1</w:t>
            </w:r>
            <w:r w:rsidR="006114BC" w:rsidRPr="00C95F33">
              <w:rPr>
                <w:szCs w:val="24"/>
                <w:lang w:val="fr-BE"/>
              </w:rPr>
              <w:t xml:space="preserve"> du Règl</w:t>
            </w:r>
            <w:r w:rsidRPr="00C95F33">
              <w:rPr>
                <w:szCs w:val="24"/>
                <w:lang w:val="fr-BE"/>
              </w:rPr>
              <w:t>e</w:t>
            </w:r>
            <w:r w:rsidR="006114BC" w:rsidRPr="00C95F33">
              <w:rPr>
                <w:szCs w:val="24"/>
                <w:lang w:val="fr-BE"/>
              </w:rPr>
              <w:t>m</w:t>
            </w:r>
            <w:r w:rsidRPr="00C95F33">
              <w:rPr>
                <w:szCs w:val="24"/>
                <w:lang w:val="fr-BE"/>
              </w:rPr>
              <w:t>ent (UE) 2021/1060)</w:t>
            </w:r>
          </w:p>
          <w:p w14:paraId="784456BF" w14:textId="0A277949" w:rsidR="00295D91" w:rsidRPr="00C95F33" w:rsidRDefault="00295D91" w:rsidP="00295D91">
            <w:pPr>
              <w:rPr>
                <w:i/>
                <w:szCs w:val="24"/>
                <w:lang w:val="fr-BE"/>
              </w:rPr>
            </w:pPr>
            <w:r w:rsidRPr="00C95F33">
              <w:rPr>
                <w:i/>
                <w:szCs w:val="24"/>
                <w:lang w:val="fr-BE"/>
              </w:rPr>
              <w:t>Le site internet de l’autorité de gestion a été adapté pour accueillir les pages relatives à la programmation 2021-2027. Toutes les informations utiles aux bénéficiaires s’y trouvent</w:t>
            </w:r>
            <w:r w:rsidR="006114BC" w:rsidRPr="00C95F33">
              <w:rPr>
                <w:i/>
                <w:szCs w:val="24"/>
                <w:lang w:val="fr-BE"/>
              </w:rPr>
              <w:t xml:space="preserve"> </w:t>
            </w:r>
            <w:r w:rsidRPr="00C95F33">
              <w:rPr>
                <w:i/>
                <w:szCs w:val="24"/>
                <w:lang w:val="fr-BE"/>
              </w:rPr>
              <w:t>(Règlements AMIF, ISF, BMVI, CPR, Basic acts of the 2021-2027 Funds), les programmes nationaux (AMIF, ISF, BMVI), des fiches explicatives concernant les indicateurs, le budget du projet, l’éligibilité des dépenses, le rapportage, les paiements, etc., le calendrier des appels à proposition (art. 49§2), la liste des projets sélectionnés (art. 49§3), les transmissions de données à la Commission (art. 42), les données et informations partagées avec le Comité de suivi (art. 38). A l’avenir, les évaluations faites par l’autorité de gestion (mid-term + ex-</w:t>
            </w:r>
            <w:r w:rsidRPr="00C95F33">
              <w:rPr>
                <w:i/>
                <w:szCs w:val="24"/>
                <w:lang w:val="fr-BE"/>
              </w:rPr>
              <w:lastRenderedPageBreak/>
              <w:t>post) et le rapport de performance final (article 43$4) feront également l’objet d’une publication.</w:t>
            </w:r>
          </w:p>
          <w:p w14:paraId="70C0E5FA" w14:textId="48B1C4DB" w:rsidR="00295D91" w:rsidRPr="00C95F33" w:rsidRDefault="00295D91" w:rsidP="00295D91">
            <w:pPr>
              <w:pStyle w:val="Paragraphedeliste"/>
              <w:numPr>
                <w:ilvl w:val="0"/>
                <w:numId w:val="43"/>
              </w:numPr>
              <w:rPr>
                <w:i/>
                <w:szCs w:val="24"/>
                <w:lang w:val="fr-BE"/>
              </w:rPr>
            </w:pPr>
            <w:r w:rsidRPr="00C95F33">
              <w:rPr>
                <w:i/>
                <w:szCs w:val="24"/>
                <w:lang w:val="fr-BE"/>
              </w:rPr>
              <w:t>Portail unique (art. 49§1 du Règle</w:t>
            </w:r>
            <w:r w:rsidR="006114BC" w:rsidRPr="00C95F33">
              <w:rPr>
                <w:i/>
                <w:szCs w:val="24"/>
                <w:lang w:val="fr-BE"/>
              </w:rPr>
              <w:t>m</w:t>
            </w:r>
            <w:r w:rsidRPr="00C95F33">
              <w:rPr>
                <w:i/>
                <w:szCs w:val="24"/>
                <w:lang w:val="fr-BE"/>
              </w:rPr>
              <w:t>ent (UE) 2021/1060)</w:t>
            </w:r>
          </w:p>
          <w:p w14:paraId="3343AD1E" w14:textId="55D08803" w:rsidR="00295D91" w:rsidRPr="00C95F33" w:rsidRDefault="00295D91" w:rsidP="00295D91">
            <w:pPr>
              <w:rPr>
                <w:i/>
                <w:szCs w:val="24"/>
                <w:lang w:val="fr-BE"/>
              </w:rPr>
            </w:pPr>
            <w:r w:rsidRPr="00C95F33">
              <w:rPr>
                <w:i/>
                <w:szCs w:val="24"/>
                <w:lang w:val="fr-BE"/>
              </w:rPr>
              <w:t>Un portail unique permettant d’accéder à tous les programmes a été mis en place par le SP Wallonie. Le site «</w:t>
            </w:r>
            <w:r w:rsidR="00D368BC" w:rsidRPr="00C95F33">
              <w:rPr>
                <w:i/>
                <w:szCs w:val="24"/>
                <w:lang w:val="fr-BE"/>
              </w:rPr>
              <w:t xml:space="preserve"> </w:t>
            </w:r>
            <w:r w:rsidRPr="00C95F33">
              <w:rPr>
                <w:i/>
                <w:szCs w:val="24"/>
                <w:lang w:val="fr-BE"/>
              </w:rPr>
              <w:t>Europe in Belgium</w:t>
            </w:r>
            <w:r w:rsidR="00D368BC" w:rsidRPr="00C95F33">
              <w:rPr>
                <w:i/>
                <w:szCs w:val="24"/>
                <w:lang w:val="fr-BE"/>
              </w:rPr>
              <w:t xml:space="preserve"> </w:t>
            </w:r>
            <w:r w:rsidRPr="00C95F33">
              <w:rPr>
                <w:i/>
                <w:szCs w:val="24"/>
                <w:lang w:val="fr-BE"/>
              </w:rPr>
              <w:t xml:space="preserve">» a été adapté pour répondre aux exigences de la nouvelle programmation. </w:t>
            </w:r>
          </w:p>
          <w:p w14:paraId="46553722" w14:textId="7D620882" w:rsidR="00295D91" w:rsidRPr="00C95F33" w:rsidRDefault="00295D91" w:rsidP="00295D91">
            <w:pPr>
              <w:pStyle w:val="Paragraphedeliste"/>
              <w:numPr>
                <w:ilvl w:val="0"/>
                <w:numId w:val="43"/>
              </w:numPr>
              <w:rPr>
                <w:i/>
                <w:szCs w:val="24"/>
                <w:lang w:val="fr-BE"/>
              </w:rPr>
            </w:pPr>
            <w:r w:rsidRPr="00C95F33">
              <w:rPr>
                <w:i/>
                <w:szCs w:val="24"/>
                <w:lang w:val="fr-BE"/>
              </w:rPr>
              <w:t xml:space="preserve">Communication Officer (art. 48 du </w:t>
            </w:r>
            <w:r w:rsidR="006114BC" w:rsidRPr="00C95F33">
              <w:rPr>
                <w:i/>
                <w:szCs w:val="24"/>
                <w:lang w:val="fr-BE"/>
              </w:rPr>
              <w:t>Règl</w:t>
            </w:r>
            <w:r w:rsidRPr="00C95F33">
              <w:rPr>
                <w:i/>
                <w:szCs w:val="24"/>
                <w:lang w:val="fr-BE"/>
              </w:rPr>
              <w:t>e</w:t>
            </w:r>
            <w:r w:rsidR="006114BC" w:rsidRPr="00C95F33">
              <w:rPr>
                <w:i/>
                <w:szCs w:val="24"/>
                <w:lang w:val="fr-BE"/>
              </w:rPr>
              <w:t>m</w:t>
            </w:r>
            <w:r w:rsidRPr="00C95F33">
              <w:rPr>
                <w:i/>
                <w:szCs w:val="24"/>
                <w:lang w:val="fr-BE"/>
              </w:rPr>
              <w:t>ent (UE) 2021/1060)</w:t>
            </w:r>
          </w:p>
          <w:p w14:paraId="04A16F01" w14:textId="181D30CC" w:rsidR="00295D91" w:rsidRPr="00C95F33" w:rsidRDefault="00295D91" w:rsidP="006114BC">
            <w:pPr>
              <w:rPr>
                <w:highlight w:val="yellow"/>
                <w:lang w:val="fr-BE"/>
              </w:rPr>
            </w:pPr>
            <w:r w:rsidRPr="00C95F33">
              <w:rPr>
                <w:i/>
                <w:szCs w:val="24"/>
                <w:lang w:val="fr-BE"/>
              </w:rPr>
              <w:t xml:space="preserve">L’autorité de gestion a désigné en son sein un responsable de communication pour les trois programmes (AMIF, ISF et BMVI). Il participe aux échanges d’informations avec les autres autorités de gestion, le coordinateur national en matière de communication et la Commission européenne en participant notamment aux « country team meetings » (deux fois par an). Il informe chaque fois que nécessaire les bénéficiaires quant à leurs obligations de publicité. De nombreuses réunions teams ont déjà été organisées à cet égard (&gt;20). En outre, une fiche explicative a été publiée sur le site internet de l’autorité de gestion « Obligations de publicité ». Les outils préparés par la Commission pour aider les bénéficiaires à cet égard sont également mis en évidence sur le site internet ( EU Commission Logo Download Center + Générateur d'affiches). Le contrôle des obligations de publicité des bénéficiaires ont déjà eu lieu dans le cadre de leur rapportage intermédiaire (tous les six mois). </w:t>
            </w:r>
          </w:p>
          <w:p w14:paraId="25878D7E" w14:textId="4375433E" w:rsidR="00295D91" w:rsidRPr="00C95F33" w:rsidRDefault="00295D91" w:rsidP="00295D91">
            <w:pPr>
              <w:pStyle w:val="Personnequisigne"/>
              <w:rPr>
                <w:highlight w:val="yellow"/>
                <w:lang w:val="fr-BE"/>
              </w:rPr>
            </w:pPr>
          </w:p>
        </w:tc>
      </w:tr>
    </w:tbl>
    <w:p w14:paraId="67FCC7D4" w14:textId="77777777" w:rsidR="00AD502C" w:rsidRPr="00C95F33" w:rsidRDefault="00F12B44" w:rsidP="00AD502C">
      <w:pPr>
        <w:rPr>
          <w:noProof/>
          <w:sz w:val="22"/>
        </w:rPr>
      </w:pPr>
      <w:r w:rsidRPr="00C95F33">
        <w:rPr>
          <w:noProof/>
          <w:sz w:val="22"/>
        </w:rPr>
        <w:lastRenderedPageBreak/>
        <w:t>P</w:t>
      </w:r>
      <w:r w:rsidR="00AD502C" w:rsidRPr="00C95F33">
        <w:rPr>
          <w:noProof/>
          <w:sz w:val="22"/>
        </w:rPr>
        <w:t>rovide a link to the website portal referred to in Article 46</w:t>
      </w:r>
      <w:r w:rsidR="003E338B" w:rsidRPr="00C95F33">
        <w:rPr>
          <w:noProof/>
          <w:sz w:val="22"/>
        </w:rPr>
        <w:t>,</w:t>
      </w:r>
      <w:r w:rsidR="00DD31FA" w:rsidRPr="00C95F33">
        <w:rPr>
          <w:noProof/>
          <w:sz w:val="22"/>
        </w:rPr>
        <w:t xml:space="preserve"> </w:t>
      </w:r>
      <w:r w:rsidR="003E338B" w:rsidRPr="00C95F33">
        <w:rPr>
          <w:noProof/>
          <w:sz w:val="22"/>
        </w:rPr>
        <w:t xml:space="preserve">point (b), </w:t>
      </w:r>
      <w:r w:rsidR="00AD502C" w:rsidRPr="00C95F33">
        <w:rPr>
          <w:noProof/>
          <w:sz w:val="22"/>
        </w:rPr>
        <w:t xml:space="preserve">of </w:t>
      </w:r>
      <w:r w:rsidR="007D0D22" w:rsidRPr="00C95F33">
        <w:rPr>
          <w:noProof/>
          <w:sz w:val="22"/>
        </w:rPr>
        <w:t>Regulation (EU) 2021/1060</w:t>
      </w:r>
      <w:r w:rsidRPr="00C95F33">
        <w:rPr>
          <w:noProof/>
          <w:sz w:val="22"/>
        </w:rPr>
        <w:t xml:space="preserve"> </w:t>
      </w:r>
      <w:r w:rsidR="00AD502C" w:rsidRPr="00C95F33">
        <w:rPr>
          <w:noProof/>
          <w:sz w:val="22"/>
        </w:rPr>
        <w:t>and, if different, to the website referred to in Article 49(1)</w:t>
      </w:r>
      <w:r w:rsidR="007D0D22" w:rsidRPr="00C95F33">
        <w:rPr>
          <w:noProof/>
          <w:sz w:val="22"/>
        </w:rPr>
        <w:t xml:space="preserve"> of that Regulation</w:t>
      </w:r>
      <w:r w:rsidR="007775C9" w:rsidRPr="00C95F33">
        <w:rPr>
          <w:noProof/>
          <w:sz w:val="22"/>
        </w:rPr>
        <w:t>.</w:t>
      </w:r>
    </w:p>
    <w:tbl>
      <w:tblPr>
        <w:tblStyle w:val="Grilledutableau"/>
        <w:tblW w:w="0" w:type="auto"/>
        <w:tblLook w:val="04A0" w:firstRow="1" w:lastRow="0" w:firstColumn="1" w:lastColumn="0" w:noHBand="0" w:noVBand="1"/>
      </w:tblPr>
      <w:tblGrid>
        <w:gridCol w:w="9289"/>
      </w:tblGrid>
      <w:tr w:rsidR="00C95F33" w:rsidRPr="00C95F33" w14:paraId="5887B93A" w14:textId="77777777" w:rsidTr="00E45665">
        <w:tc>
          <w:tcPr>
            <w:tcW w:w="9289" w:type="dxa"/>
          </w:tcPr>
          <w:p w14:paraId="4D217D25" w14:textId="19B10D15" w:rsidR="000C75AF" w:rsidRPr="00C95F33" w:rsidRDefault="000C75AF" w:rsidP="00ED3969">
            <w:pPr>
              <w:pStyle w:val="Personnequisigne"/>
              <w:rPr>
                <w:lang w:val="en-US"/>
              </w:rPr>
            </w:pPr>
            <w:r w:rsidRPr="00C95F33">
              <w:t xml:space="preserve">Website of the Managing Authority: </w:t>
            </w:r>
            <w:hyperlink r:id="rId18" w:history="1">
              <w:r w:rsidRPr="00C95F33">
                <w:rPr>
                  <w:rStyle w:val="Lienhypertexte"/>
                  <w:color w:val="auto"/>
                  <w:lang w:val="en-US"/>
                </w:rPr>
                <w:t>https://amif-isf.be/</w:t>
              </w:r>
            </w:hyperlink>
          </w:p>
          <w:p w14:paraId="0E62B6DC" w14:textId="77777777" w:rsidR="00D368BC" w:rsidRPr="00C95F33" w:rsidRDefault="000C75AF" w:rsidP="000C75AF">
            <w:pPr>
              <w:pStyle w:val="Institutionquisigne"/>
              <w:spacing w:before="100" w:beforeAutospacing="1" w:after="100" w:afterAutospacing="1"/>
              <w:rPr>
                <w:lang w:val="fr-BE"/>
              </w:rPr>
            </w:pPr>
            <w:r w:rsidRPr="00C95F33">
              <w:rPr>
                <w:lang w:val="fr-BE"/>
              </w:rPr>
              <w:t xml:space="preserve">Unique portal: </w:t>
            </w:r>
            <w:hyperlink r:id="rId19" w:history="1">
              <w:r w:rsidRPr="00C95F33">
                <w:rPr>
                  <w:rStyle w:val="Lienhypertexte"/>
                  <w:color w:val="auto"/>
                  <w:lang w:val="fr-BE"/>
                </w:rPr>
                <w:t>https://www.europeinbelgium.be/</w:t>
              </w:r>
            </w:hyperlink>
          </w:p>
          <w:p w14:paraId="678AF28B" w14:textId="6E92BCD2" w:rsidR="004A4D9D" w:rsidRPr="00C95F33" w:rsidRDefault="004A4D9D" w:rsidP="004A4D9D">
            <w:pPr>
              <w:pStyle w:val="Personnequisigne"/>
              <w:rPr>
                <w:highlight w:val="yellow"/>
                <w:lang w:val="fr-BE"/>
              </w:rPr>
            </w:pPr>
          </w:p>
        </w:tc>
      </w:tr>
    </w:tbl>
    <w:p w14:paraId="69D9D423" w14:textId="125968F7" w:rsidR="00AD502C" w:rsidRPr="00C95F33" w:rsidRDefault="00457D1B" w:rsidP="00457D1B">
      <w:pPr>
        <w:pStyle w:val="ManualHeading1"/>
        <w:rPr>
          <w:noProof/>
        </w:rPr>
      </w:pPr>
      <w:r w:rsidRPr="00C95F33">
        <w:t>5.</w:t>
      </w:r>
      <w:r w:rsidRPr="00C95F33">
        <w:tab/>
      </w:r>
      <w:r w:rsidR="00AD502C" w:rsidRPr="00C95F33">
        <w:rPr>
          <w:noProof/>
        </w:rPr>
        <w:t xml:space="preserve">Enabling </w:t>
      </w:r>
      <w:r w:rsidR="000903CC" w:rsidRPr="00C95F33">
        <w:rPr>
          <w:noProof/>
        </w:rPr>
        <w:t>c</w:t>
      </w:r>
      <w:r w:rsidR="00AD502C" w:rsidRPr="00C95F33">
        <w:rPr>
          <w:noProof/>
        </w:rPr>
        <w:t xml:space="preserve">onditions and </w:t>
      </w:r>
      <w:r w:rsidR="000903CC" w:rsidRPr="00C95F33">
        <w:rPr>
          <w:noProof/>
        </w:rPr>
        <w:t>h</w:t>
      </w:r>
      <w:r w:rsidR="00AD502C" w:rsidRPr="00C95F33">
        <w:rPr>
          <w:noProof/>
        </w:rPr>
        <w:t xml:space="preserve">orizontal </w:t>
      </w:r>
      <w:r w:rsidR="000903CC" w:rsidRPr="00C95F33">
        <w:rPr>
          <w:noProof/>
        </w:rPr>
        <w:t>p</w:t>
      </w:r>
      <w:r w:rsidR="00AD502C" w:rsidRPr="00C95F33">
        <w:rPr>
          <w:noProof/>
        </w:rPr>
        <w:t xml:space="preserve">rinciples </w:t>
      </w:r>
    </w:p>
    <w:p w14:paraId="64AC3C65" w14:textId="3E0CF680" w:rsidR="00AD502C" w:rsidRPr="00C95F33" w:rsidRDefault="00457D1B" w:rsidP="00457D1B">
      <w:pPr>
        <w:pStyle w:val="ManualHeading2"/>
        <w:rPr>
          <w:noProof/>
        </w:rPr>
      </w:pPr>
      <w:r w:rsidRPr="00C95F33">
        <w:t>5.1.</w:t>
      </w:r>
      <w:r w:rsidRPr="00C95F33">
        <w:tab/>
      </w:r>
      <w:r w:rsidR="00AD502C" w:rsidRPr="00C95F33">
        <w:rPr>
          <w:noProof/>
        </w:rPr>
        <w:t xml:space="preserve">Enabling </w:t>
      </w:r>
      <w:r w:rsidR="000903CC" w:rsidRPr="00C95F33">
        <w:rPr>
          <w:noProof/>
        </w:rPr>
        <w:t>c</w:t>
      </w:r>
      <w:r w:rsidR="00AD502C" w:rsidRPr="00C95F33">
        <w:rPr>
          <w:noProof/>
        </w:rPr>
        <w:t>onditions – Article 29(2)</w:t>
      </w:r>
      <w:r w:rsidR="003E338B" w:rsidRPr="00C95F33">
        <w:rPr>
          <w:noProof/>
        </w:rPr>
        <w:t>,</w:t>
      </w:r>
      <w:r w:rsidR="00AD502C" w:rsidRPr="00C95F33">
        <w:rPr>
          <w:noProof/>
        </w:rPr>
        <w:t xml:space="preserve"> point (f)</w:t>
      </w:r>
      <w:r w:rsidR="003E338B" w:rsidRPr="00C95F33">
        <w:rPr>
          <w:noProof/>
        </w:rPr>
        <w:t>,</w:t>
      </w:r>
      <w:r w:rsidR="00AD502C" w:rsidRPr="00C95F33">
        <w:rPr>
          <w:noProof/>
        </w:rPr>
        <w:t xml:space="preserve"> of Regulation (EU) 2021/1148</w:t>
      </w:r>
    </w:p>
    <w:p w14:paraId="3E95EE4B" w14:textId="77777777" w:rsidR="00AD502C" w:rsidRPr="00C95F33" w:rsidRDefault="00F12B44" w:rsidP="00AD502C">
      <w:pPr>
        <w:rPr>
          <w:noProof/>
          <w:sz w:val="22"/>
        </w:rPr>
      </w:pPr>
      <w:r w:rsidRPr="00C95F33">
        <w:rPr>
          <w:noProof/>
          <w:sz w:val="22"/>
        </w:rPr>
        <w:t>Describe</w:t>
      </w:r>
      <w:r w:rsidR="00591AB0" w:rsidRPr="00C95F33">
        <w:rPr>
          <w:noProof/>
          <w:sz w:val="22"/>
        </w:rPr>
        <w:t xml:space="preserve"> how it was ensured that the applicable enabling conditions in Annex III of Regulation (EU) 2021/1060 were fulfilled and applied throughout the accounting year, in particular as regards complying with the Charter of Fundamental Rights</w:t>
      </w:r>
      <w:r w:rsidRPr="00C95F33">
        <w:rPr>
          <w:noProof/>
          <w:sz w:val="22"/>
        </w:rPr>
        <w:t xml:space="preserve"> of the European Union</w:t>
      </w:r>
      <w:r w:rsidR="007775C9" w:rsidRPr="00C95F33">
        <w:rPr>
          <w:noProof/>
          <w:sz w:val="22"/>
        </w:rPr>
        <w:t>.</w:t>
      </w:r>
      <w:r w:rsidR="00AD502C" w:rsidRPr="00C95F33">
        <w:rPr>
          <w:noProof/>
          <w:sz w:val="22"/>
        </w:rPr>
        <w:t xml:space="preserve"> If relevant, describe any </w:t>
      </w:r>
      <w:r w:rsidR="0001528B" w:rsidRPr="00C95F33">
        <w:rPr>
          <w:noProof/>
          <w:sz w:val="22"/>
        </w:rPr>
        <w:t xml:space="preserve">change </w:t>
      </w:r>
      <w:r w:rsidR="007478DA" w:rsidRPr="00C95F33">
        <w:rPr>
          <w:noProof/>
          <w:sz w:val="22"/>
        </w:rPr>
        <w:t xml:space="preserve">that had an </w:t>
      </w:r>
      <w:r w:rsidR="00AD502C" w:rsidRPr="00C95F33">
        <w:rPr>
          <w:noProof/>
          <w:sz w:val="22"/>
        </w:rPr>
        <w:t xml:space="preserve">impact </w:t>
      </w:r>
      <w:r w:rsidR="007478DA" w:rsidRPr="00C95F33">
        <w:rPr>
          <w:noProof/>
          <w:sz w:val="22"/>
        </w:rPr>
        <w:t xml:space="preserve">on how the </w:t>
      </w:r>
      <w:r w:rsidR="00AD502C" w:rsidRPr="00C95F33">
        <w:rPr>
          <w:noProof/>
          <w:sz w:val="22"/>
        </w:rPr>
        <w:t>enabling conditions</w:t>
      </w:r>
      <w:r w:rsidR="007478DA" w:rsidRPr="00C95F33">
        <w:rPr>
          <w:noProof/>
          <w:sz w:val="22"/>
        </w:rPr>
        <w:t xml:space="preserve"> were fulfilled</w:t>
      </w:r>
      <w:r w:rsidR="00AD502C" w:rsidRPr="00C95F33">
        <w:rPr>
          <w:noProof/>
          <w:sz w:val="22"/>
        </w:rPr>
        <w:t xml:space="preserve">, as </w:t>
      </w:r>
      <w:r w:rsidR="002F1935" w:rsidRPr="00C95F33">
        <w:rPr>
          <w:noProof/>
          <w:sz w:val="22"/>
        </w:rPr>
        <w:t xml:space="preserve">provided for in </w:t>
      </w:r>
      <w:r w:rsidR="00AD502C" w:rsidRPr="00C95F33">
        <w:rPr>
          <w:noProof/>
          <w:sz w:val="22"/>
        </w:rPr>
        <w:t>Article 15(6) of Regulation (EU) 2021/1060.</w:t>
      </w:r>
    </w:p>
    <w:tbl>
      <w:tblPr>
        <w:tblStyle w:val="Grilledutableau"/>
        <w:tblW w:w="0" w:type="auto"/>
        <w:tblLook w:val="04A0" w:firstRow="1" w:lastRow="0" w:firstColumn="1" w:lastColumn="0" w:noHBand="0" w:noVBand="1"/>
      </w:tblPr>
      <w:tblGrid>
        <w:gridCol w:w="9289"/>
      </w:tblGrid>
      <w:tr w:rsidR="00C95F33" w:rsidRPr="00C95F33" w14:paraId="6E93E08C" w14:textId="77777777" w:rsidTr="00E45665">
        <w:tc>
          <w:tcPr>
            <w:tcW w:w="9289" w:type="dxa"/>
          </w:tcPr>
          <w:p w14:paraId="77764ACD" w14:textId="249CBA10" w:rsidR="000C75AF" w:rsidRPr="00C95F33" w:rsidRDefault="000C75AF" w:rsidP="000D3792">
            <w:pPr>
              <w:pStyle w:val="Personnequisigne"/>
              <w:numPr>
                <w:ilvl w:val="0"/>
                <w:numId w:val="46"/>
              </w:numPr>
              <w:ind w:left="284"/>
              <w:rPr>
                <w:noProof/>
              </w:rPr>
            </w:pPr>
            <w:r w:rsidRPr="00C95F33">
              <w:rPr>
                <w:noProof/>
              </w:rPr>
              <w:t>Arrangements to ensure compliance of the programmes supported by the Funds and their implementation with the relevant provisions of the Charter</w:t>
            </w:r>
            <w:r w:rsidRPr="00C95F33">
              <w:t xml:space="preserve"> and the </w:t>
            </w:r>
            <w:r w:rsidRPr="00C95F33">
              <w:rPr>
                <w:noProof/>
              </w:rPr>
              <w:t>UNCRPD:</w:t>
            </w:r>
          </w:p>
          <w:p w14:paraId="10209E6D" w14:textId="77777777" w:rsidR="000C75AF" w:rsidRPr="00C95F33" w:rsidRDefault="000C75AF" w:rsidP="000C75AF">
            <w:pPr>
              <w:pStyle w:val="Personnequisigne"/>
              <w:numPr>
                <w:ilvl w:val="0"/>
                <w:numId w:val="44"/>
              </w:numPr>
              <w:rPr>
                <w:noProof/>
              </w:rPr>
            </w:pPr>
            <w:r w:rsidRPr="00C95F33">
              <w:rPr>
                <w:noProof/>
              </w:rPr>
              <w:t>Sensibilisation by the MA while launching the calls (coaching sessions).</w:t>
            </w:r>
          </w:p>
          <w:p w14:paraId="4E6A6A21" w14:textId="77777777" w:rsidR="000C75AF" w:rsidRPr="00C95F33" w:rsidRDefault="000C75AF" w:rsidP="000C75AF">
            <w:pPr>
              <w:pStyle w:val="Personnequisigne"/>
              <w:numPr>
                <w:ilvl w:val="0"/>
                <w:numId w:val="44"/>
              </w:numPr>
              <w:rPr>
                <w:noProof/>
              </w:rPr>
            </w:pPr>
            <w:r w:rsidRPr="00C95F33">
              <w:rPr>
                <w:noProof/>
              </w:rPr>
              <w:t>Commitment of the beneficiaries to respect the Charter</w:t>
            </w:r>
            <w:r w:rsidRPr="00C95F33">
              <w:t xml:space="preserve"> / </w:t>
            </w:r>
            <w:r w:rsidRPr="00C95F33">
              <w:rPr>
                <w:noProof/>
              </w:rPr>
              <w:t>UNCRPD in the project proposal (legal declaration).</w:t>
            </w:r>
          </w:p>
          <w:p w14:paraId="6376461C" w14:textId="77777777" w:rsidR="000C75AF" w:rsidRPr="00C95F33" w:rsidRDefault="000C75AF" w:rsidP="000C75AF">
            <w:pPr>
              <w:pStyle w:val="Personnequisigne"/>
              <w:numPr>
                <w:ilvl w:val="0"/>
                <w:numId w:val="44"/>
              </w:numPr>
              <w:rPr>
                <w:noProof/>
              </w:rPr>
            </w:pPr>
            <w:r w:rsidRPr="00C95F33">
              <w:rPr>
                <w:noProof/>
              </w:rPr>
              <w:t>Obligation to respect the Charter / UNCRPD registered in the ministerial decree (art.7).</w:t>
            </w:r>
          </w:p>
          <w:p w14:paraId="4B6C7D02" w14:textId="77777777" w:rsidR="000C75AF" w:rsidRPr="00C95F33" w:rsidRDefault="000C75AF" w:rsidP="000C75AF">
            <w:pPr>
              <w:pStyle w:val="Personnequisigne"/>
              <w:numPr>
                <w:ilvl w:val="0"/>
                <w:numId w:val="44"/>
              </w:numPr>
              <w:rPr>
                <w:noProof/>
              </w:rPr>
            </w:pPr>
            <w:r w:rsidRPr="00C95F33">
              <w:rPr>
                <w:noProof/>
              </w:rPr>
              <w:t>Reporting by the beneficiary in the intermediary and final reports (questions).</w:t>
            </w:r>
          </w:p>
          <w:p w14:paraId="1C049197" w14:textId="77777777" w:rsidR="000C75AF" w:rsidRPr="00C95F33" w:rsidRDefault="000C75AF" w:rsidP="000C75AF">
            <w:pPr>
              <w:pStyle w:val="Personnequisigne"/>
              <w:numPr>
                <w:ilvl w:val="0"/>
                <w:numId w:val="44"/>
              </w:numPr>
              <w:rPr>
                <w:noProof/>
              </w:rPr>
            </w:pPr>
            <w:r w:rsidRPr="00C95F33">
              <w:rPr>
                <w:noProof/>
              </w:rPr>
              <w:t>Control by the MA during the operational and narrative controls (questions).</w:t>
            </w:r>
          </w:p>
          <w:p w14:paraId="76521BDA" w14:textId="77777777" w:rsidR="000C75AF" w:rsidRPr="00C95F33" w:rsidRDefault="000C75AF" w:rsidP="000C75AF">
            <w:pPr>
              <w:pStyle w:val="Personnequisigne"/>
              <w:numPr>
                <w:ilvl w:val="0"/>
                <w:numId w:val="44"/>
              </w:numPr>
              <w:rPr>
                <w:noProof/>
              </w:rPr>
            </w:pPr>
            <w:r w:rsidRPr="00C95F33">
              <w:rPr>
                <w:noProof/>
              </w:rPr>
              <w:t xml:space="preserve">Nomination of a Fundamental Rights « expert » within the MA. </w:t>
            </w:r>
          </w:p>
          <w:p w14:paraId="47037DC5" w14:textId="77777777" w:rsidR="000C75AF" w:rsidRPr="00C95F33" w:rsidRDefault="000C75AF" w:rsidP="000C75AF">
            <w:pPr>
              <w:pStyle w:val="Personnequisigne"/>
              <w:numPr>
                <w:ilvl w:val="0"/>
                <w:numId w:val="44"/>
              </w:numPr>
              <w:rPr>
                <w:noProof/>
              </w:rPr>
            </w:pPr>
            <w:r w:rsidRPr="00C95F33">
              <w:rPr>
                <w:noProof/>
              </w:rPr>
              <w:t>Training on the Charter (FRA) followed by the expert.</w:t>
            </w:r>
          </w:p>
          <w:p w14:paraId="6BFCC6E8" w14:textId="77777777" w:rsidR="000C75AF" w:rsidRPr="00C95F33" w:rsidRDefault="000C75AF" w:rsidP="000C75AF">
            <w:pPr>
              <w:pStyle w:val="Personnequisigne"/>
              <w:numPr>
                <w:ilvl w:val="0"/>
                <w:numId w:val="44"/>
              </w:numPr>
              <w:rPr>
                <w:noProof/>
              </w:rPr>
            </w:pPr>
            <w:r w:rsidRPr="00C95F33">
              <w:rPr>
                <w:noProof/>
              </w:rPr>
              <w:t>Reference to the Commission’s guidance (2016/C 269/01).</w:t>
            </w:r>
          </w:p>
          <w:p w14:paraId="5B67920A" w14:textId="77777777" w:rsidR="000C75AF" w:rsidRPr="00C95F33" w:rsidRDefault="000C75AF" w:rsidP="000C75AF">
            <w:pPr>
              <w:pStyle w:val="Personnequisigne"/>
              <w:numPr>
                <w:ilvl w:val="0"/>
                <w:numId w:val="44"/>
              </w:numPr>
              <w:rPr>
                <w:noProof/>
              </w:rPr>
            </w:pPr>
            <w:r w:rsidRPr="00C95F33">
              <w:rPr>
                <w:noProof/>
              </w:rPr>
              <w:lastRenderedPageBreak/>
              <w:t>Support from the partners specialized in Fundamental Rights (UNIA, FPS Justice,…).</w:t>
            </w:r>
          </w:p>
          <w:p w14:paraId="2F5A68DE" w14:textId="77777777" w:rsidR="000C75AF" w:rsidRPr="00C95F33" w:rsidRDefault="000C75AF" w:rsidP="000C75AF">
            <w:pPr>
              <w:pStyle w:val="Personnequisigne"/>
              <w:numPr>
                <w:ilvl w:val="0"/>
                <w:numId w:val="44"/>
              </w:numPr>
              <w:rPr>
                <w:noProof/>
              </w:rPr>
            </w:pPr>
            <w:r w:rsidRPr="00C95F33">
              <w:rPr>
                <w:noProof/>
              </w:rPr>
              <w:t>Transfer of the complaints by the expert to the relevant instances and follow-up by the MA.</w:t>
            </w:r>
          </w:p>
          <w:p w14:paraId="3A75E151" w14:textId="77777777" w:rsidR="000C75AF" w:rsidRPr="00C95F33" w:rsidRDefault="000C75AF" w:rsidP="000C75AF">
            <w:pPr>
              <w:pStyle w:val="Personnequisigne"/>
              <w:numPr>
                <w:ilvl w:val="0"/>
                <w:numId w:val="44"/>
              </w:numPr>
            </w:pPr>
            <w:r w:rsidRPr="00C95F33">
              <w:rPr>
                <w:noProof/>
              </w:rPr>
              <w:t>Intermediate bodies AMIF (ESF Vlaanderen et Agence FSE) monitor the respect of the Charter</w:t>
            </w:r>
            <w:r w:rsidRPr="00C95F33">
              <w:t xml:space="preserve"> / </w:t>
            </w:r>
            <w:r w:rsidRPr="00C95F33">
              <w:rPr>
                <w:noProof/>
              </w:rPr>
              <w:t>UNCRPD.</w:t>
            </w:r>
            <w:r w:rsidRPr="00C95F33">
              <w:t xml:space="preserve"> </w:t>
            </w:r>
          </w:p>
          <w:p w14:paraId="5751C401" w14:textId="77777777" w:rsidR="000C75AF" w:rsidRPr="00C95F33" w:rsidRDefault="000C75AF" w:rsidP="000C75AF">
            <w:pPr>
              <w:pStyle w:val="Personnequisigne"/>
              <w:rPr>
                <w:noProof/>
              </w:rPr>
            </w:pPr>
          </w:p>
          <w:p w14:paraId="76D9438F" w14:textId="15663420" w:rsidR="000C75AF" w:rsidRPr="00C95F33" w:rsidRDefault="000C75AF" w:rsidP="000D3792">
            <w:pPr>
              <w:pStyle w:val="Personnequisigne"/>
              <w:numPr>
                <w:ilvl w:val="0"/>
                <w:numId w:val="46"/>
              </w:numPr>
              <w:ind w:left="284"/>
              <w:rPr>
                <w:noProof/>
              </w:rPr>
            </w:pPr>
            <w:r w:rsidRPr="00C95F33">
              <w:rPr>
                <w:noProof/>
              </w:rPr>
              <w:t>Reporting arrangements to the monitoring committee regarding cases of non-compliance of operations supported by the Funds with the Charter / UNCRPD and complaints submitted in accordance with the arrangements made pursuant to Art 69(7):</w:t>
            </w:r>
          </w:p>
          <w:p w14:paraId="0801C60E" w14:textId="77777777" w:rsidR="000C75AF" w:rsidRPr="00C95F33" w:rsidRDefault="000C75AF" w:rsidP="000C75AF">
            <w:pPr>
              <w:pStyle w:val="Personnequisigne"/>
              <w:numPr>
                <w:ilvl w:val="0"/>
                <w:numId w:val="45"/>
              </w:numPr>
              <w:rPr>
                <w:noProof/>
              </w:rPr>
            </w:pPr>
            <w:r w:rsidRPr="00C95F33">
              <w:rPr>
                <w:noProof/>
              </w:rPr>
              <w:t>Compliance of the projects with the Charter presented to the MC (protocol art.3).</w:t>
            </w:r>
          </w:p>
          <w:p w14:paraId="4717B95D" w14:textId="77777777" w:rsidR="000C75AF" w:rsidRPr="00C95F33" w:rsidRDefault="000C75AF" w:rsidP="000C75AF">
            <w:pPr>
              <w:pStyle w:val="Personnequisigne"/>
              <w:numPr>
                <w:ilvl w:val="0"/>
                <w:numId w:val="45"/>
              </w:numPr>
              <w:rPr>
                <w:noProof/>
              </w:rPr>
            </w:pPr>
            <w:r w:rsidRPr="00C95F33">
              <w:rPr>
                <w:noProof/>
              </w:rPr>
              <w:t>Cases of non-compliance with the Charter, complaints and their follow-up reported to the MC (template).</w:t>
            </w:r>
          </w:p>
          <w:p w14:paraId="742EFA0D" w14:textId="0F9F8AE4" w:rsidR="000C75AF" w:rsidRPr="00C95F33" w:rsidRDefault="000C75AF" w:rsidP="000C75AF">
            <w:pPr>
              <w:pStyle w:val="Personnequisigne"/>
              <w:numPr>
                <w:ilvl w:val="0"/>
                <w:numId w:val="45"/>
              </w:numPr>
              <w:rPr>
                <w:noProof/>
              </w:rPr>
            </w:pPr>
            <w:r w:rsidRPr="00C95F33">
              <w:rPr>
                <w:noProof/>
              </w:rPr>
              <w:t>A specilized partner (UNIA, FPS Justice) can be invited to the MC to explain a case (protocol art.2 §7).</w:t>
            </w:r>
          </w:p>
          <w:p w14:paraId="769FF36A" w14:textId="77777777" w:rsidR="000D3792" w:rsidRPr="00C95F33" w:rsidRDefault="000D3792" w:rsidP="000D3792">
            <w:pPr>
              <w:pStyle w:val="Personnequisigne"/>
            </w:pPr>
          </w:p>
          <w:p w14:paraId="493BB9AF" w14:textId="4201C365" w:rsidR="000C75AF" w:rsidRPr="00C95F33" w:rsidRDefault="000C75AF" w:rsidP="000D3792">
            <w:pPr>
              <w:pStyle w:val="Personnequisigne"/>
              <w:numPr>
                <w:ilvl w:val="0"/>
                <w:numId w:val="46"/>
              </w:numPr>
              <w:ind w:left="284"/>
              <w:rPr>
                <w:i w:val="0"/>
              </w:rPr>
            </w:pPr>
            <w:r w:rsidRPr="00C95F33">
              <w:t>The controls of public procurements are also carried out by the Managing Authority in order to ensure the respect of the Belgian legislation.</w:t>
            </w:r>
          </w:p>
          <w:p w14:paraId="631D4023" w14:textId="77777777" w:rsidR="000C75AF" w:rsidRPr="00C95F33" w:rsidRDefault="000C75AF" w:rsidP="000C75AF">
            <w:pPr>
              <w:pStyle w:val="Institutionquisigne"/>
              <w:spacing w:before="100" w:beforeAutospacing="1" w:after="100" w:afterAutospacing="1"/>
            </w:pPr>
            <w:r w:rsidRPr="00C95F33">
              <w:t>No complaints have been received so far.</w:t>
            </w:r>
          </w:p>
          <w:p w14:paraId="18E399E7" w14:textId="49FF52EE" w:rsidR="000C75AF" w:rsidRPr="00C95F33" w:rsidRDefault="000C75AF" w:rsidP="000C75AF">
            <w:pPr>
              <w:pStyle w:val="Personnequisigne"/>
            </w:pPr>
          </w:p>
        </w:tc>
      </w:tr>
    </w:tbl>
    <w:p w14:paraId="3A1A4C74" w14:textId="5AF9D92A" w:rsidR="00AD502C" w:rsidRPr="00C95F33" w:rsidRDefault="00457D1B" w:rsidP="00457D1B">
      <w:pPr>
        <w:pStyle w:val="ManualHeading2"/>
        <w:rPr>
          <w:noProof/>
        </w:rPr>
      </w:pPr>
      <w:r w:rsidRPr="00C95F33">
        <w:lastRenderedPageBreak/>
        <w:t>5.2.</w:t>
      </w:r>
      <w:r w:rsidRPr="00C95F33">
        <w:tab/>
      </w:r>
      <w:r w:rsidR="0001528B" w:rsidRPr="00C95F33">
        <w:rPr>
          <w:noProof/>
        </w:rPr>
        <w:t>Compliance with</w:t>
      </w:r>
      <w:r w:rsidR="00AD502C" w:rsidRPr="00C95F33">
        <w:rPr>
          <w:noProof/>
        </w:rPr>
        <w:t xml:space="preserve"> </w:t>
      </w:r>
      <w:r w:rsidR="000903CC" w:rsidRPr="00C95F33">
        <w:rPr>
          <w:noProof/>
        </w:rPr>
        <w:t>h</w:t>
      </w:r>
      <w:r w:rsidR="00AD502C" w:rsidRPr="00C95F33">
        <w:rPr>
          <w:noProof/>
        </w:rPr>
        <w:t xml:space="preserve">orizontal </w:t>
      </w:r>
      <w:r w:rsidR="000903CC" w:rsidRPr="00C95F33">
        <w:rPr>
          <w:noProof/>
        </w:rPr>
        <w:t>p</w:t>
      </w:r>
      <w:r w:rsidR="00AD502C" w:rsidRPr="00C95F33">
        <w:rPr>
          <w:noProof/>
        </w:rPr>
        <w:t>rinciples – Article 9 of Regulation (EU) 2021/1060</w:t>
      </w:r>
    </w:p>
    <w:p w14:paraId="1DF3BFB5" w14:textId="6F063F26" w:rsidR="00AD502C" w:rsidRPr="00C95F33" w:rsidRDefault="0049684A" w:rsidP="00AD502C">
      <w:pPr>
        <w:rPr>
          <w:noProof/>
          <w:sz w:val="22"/>
        </w:rPr>
      </w:pPr>
      <w:r w:rsidRPr="00C95F33">
        <w:rPr>
          <w:noProof/>
          <w:sz w:val="22"/>
        </w:rPr>
        <w:t>D</w:t>
      </w:r>
      <w:r w:rsidR="00AD502C" w:rsidRPr="00C95F33">
        <w:rPr>
          <w:noProof/>
          <w:sz w:val="22"/>
        </w:rPr>
        <w:t xml:space="preserve">escribe how you ensured </w:t>
      </w:r>
      <w:r w:rsidR="0001528B" w:rsidRPr="00C95F33">
        <w:rPr>
          <w:noProof/>
          <w:sz w:val="22"/>
        </w:rPr>
        <w:t xml:space="preserve">compliance </w:t>
      </w:r>
      <w:r w:rsidR="00EE5052" w:rsidRPr="00C95F33">
        <w:rPr>
          <w:noProof/>
          <w:sz w:val="22"/>
        </w:rPr>
        <w:t xml:space="preserve">during the accounting year </w:t>
      </w:r>
      <w:r w:rsidR="0001528B" w:rsidRPr="00C95F33">
        <w:rPr>
          <w:noProof/>
          <w:sz w:val="22"/>
        </w:rPr>
        <w:t xml:space="preserve">with </w:t>
      </w:r>
      <w:r w:rsidR="00AD502C" w:rsidRPr="00C95F33">
        <w:rPr>
          <w:noProof/>
          <w:sz w:val="22"/>
        </w:rPr>
        <w:t xml:space="preserve">the horizontal principles laid </w:t>
      </w:r>
      <w:r w:rsidR="00F47EA7" w:rsidRPr="00C95F33">
        <w:rPr>
          <w:noProof/>
          <w:sz w:val="22"/>
        </w:rPr>
        <w:t xml:space="preserve">down </w:t>
      </w:r>
      <w:r w:rsidR="00AD502C" w:rsidRPr="00C95F33">
        <w:rPr>
          <w:noProof/>
          <w:sz w:val="22"/>
        </w:rPr>
        <w:t>in the Common Provision Regulation, in particular equality between men and wom</w:t>
      </w:r>
      <w:r w:rsidR="00233356" w:rsidRPr="00C95F33">
        <w:rPr>
          <w:noProof/>
          <w:sz w:val="22"/>
        </w:rPr>
        <w:t>e</w:t>
      </w:r>
      <w:r w:rsidR="00AD502C" w:rsidRPr="00C95F33">
        <w:rPr>
          <w:noProof/>
          <w:sz w:val="22"/>
        </w:rPr>
        <w:t xml:space="preserve">n and the promotion of gender mainstreaming, as well as </w:t>
      </w:r>
      <w:r w:rsidR="00F47EA7" w:rsidRPr="00C95F33">
        <w:rPr>
          <w:noProof/>
          <w:sz w:val="22"/>
        </w:rPr>
        <w:t xml:space="preserve">avoiding </w:t>
      </w:r>
      <w:r w:rsidR="00AD502C" w:rsidRPr="00C95F33">
        <w:rPr>
          <w:noProof/>
          <w:sz w:val="22"/>
        </w:rPr>
        <w:t>discrimination based on gender, racial or ethnic origin, religion or belief, disability, age or sexual orientation.</w:t>
      </w:r>
    </w:p>
    <w:tbl>
      <w:tblPr>
        <w:tblStyle w:val="Grilledutableau"/>
        <w:tblW w:w="0" w:type="auto"/>
        <w:tblLook w:val="04A0" w:firstRow="1" w:lastRow="0" w:firstColumn="1" w:lastColumn="0" w:noHBand="0" w:noVBand="1"/>
      </w:tblPr>
      <w:tblGrid>
        <w:gridCol w:w="9289"/>
      </w:tblGrid>
      <w:tr w:rsidR="00C95F33" w:rsidRPr="00C95F33" w14:paraId="5AE46B5F" w14:textId="77777777" w:rsidTr="00E45665">
        <w:tc>
          <w:tcPr>
            <w:tcW w:w="9289" w:type="dxa"/>
          </w:tcPr>
          <w:p w14:paraId="0AD6116D" w14:textId="77777777" w:rsidR="000C75AF" w:rsidRPr="00C95F33" w:rsidRDefault="000C75AF" w:rsidP="00ED3969">
            <w:pPr>
              <w:pStyle w:val="Personnequisigne"/>
            </w:pPr>
            <w:r w:rsidRPr="00C95F33">
              <w:t>Actions explained under the point 5.1 apply as well to the horizontal principles.</w:t>
            </w:r>
          </w:p>
          <w:p w14:paraId="2B0E33C2" w14:textId="37720264" w:rsidR="000C75AF" w:rsidRPr="00C95F33" w:rsidRDefault="000C75AF" w:rsidP="00D14E91">
            <w:pPr>
              <w:pStyle w:val="Personnequisigne"/>
            </w:pPr>
          </w:p>
        </w:tc>
      </w:tr>
    </w:tbl>
    <w:p w14:paraId="07F809CF" w14:textId="782C6A60" w:rsidR="00AD502C" w:rsidRPr="00C95F33" w:rsidRDefault="00457D1B" w:rsidP="00457D1B">
      <w:pPr>
        <w:pStyle w:val="ManualHeading1"/>
        <w:rPr>
          <w:noProof/>
        </w:rPr>
      </w:pPr>
      <w:r w:rsidRPr="00C95F33">
        <w:t>6.</w:t>
      </w:r>
      <w:r w:rsidRPr="00C95F33">
        <w:tab/>
      </w:r>
      <w:r w:rsidR="00AD502C" w:rsidRPr="00C95F33">
        <w:rPr>
          <w:noProof/>
        </w:rPr>
        <w:t>Projects in or in relation to third countries - Article 29(2)</w:t>
      </w:r>
      <w:r w:rsidR="003E338B" w:rsidRPr="00C95F33">
        <w:rPr>
          <w:noProof/>
        </w:rPr>
        <w:t>,</w:t>
      </w:r>
      <w:r w:rsidR="00AD502C" w:rsidRPr="00C95F33">
        <w:rPr>
          <w:noProof/>
        </w:rPr>
        <w:t xml:space="preserve"> point (h)</w:t>
      </w:r>
      <w:r w:rsidR="003E338B" w:rsidRPr="00C95F33">
        <w:rPr>
          <w:noProof/>
        </w:rPr>
        <w:t>,</w:t>
      </w:r>
      <w:r w:rsidR="00AD502C" w:rsidRPr="00C95F33">
        <w:rPr>
          <w:noProof/>
        </w:rPr>
        <w:t xml:space="preserve"> of Regulation (EU) 2021/1148</w:t>
      </w:r>
    </w:p>
    <w:p w14:paraId="519D0C0F" w14:textId="1035B0D2" w:rsidR="00AD502C" w:rsidRPr="00C95F33" w:rsidRDefault="0049684A" w:rsidP="00AD502C">
      <w:pPr>
        <w:rPr>
          <w:noProof/>
          <w:sz w:val="22"/>
        </w:rPr>
      </w:pPr>
      <w:r w:rsidRPr="00C95F33">
        <w:rPr>
          <w:noProof/>
          <w:sz w:val="22"/>
        </w:rPr>
        <w:t>D</w:t>
      </w:r>
      <w:r w:rsidR="00AD502C" w:rsidRPr="00C95F33">
        <w:rPr>
          <w:noProof/>
          <w:sz w:val="22"/>
        </w:rPr>
        <w:t xml:space="preserve">escribe any actions taking place in or in relation to third countries during the accounting year and how these bring </w:t>
      </w:r>
      <w:r w:rsidR="00D139E5" w:rsidRPr="00C95F33">
        <w:rPr>
          <w:noProof/>
          <w:sz w:val="22"/>
        </w:rPr>
        <w:t xml:space="preserve">Union </w:t>
      </w:r>
      <w:r w:rsidR="00AD502C" w:rsidRPr="00C95F33">
        <w:rPr>
          <w:noProof/>
          <w:sz w:val="22"/>
        </w:rPr>
        <w:t xml:space="preserve">added value in </w:t>
      </w:r>
      <w:r w:rsidR="008A02D6" w:rsidRPr="00C95F33">
        <w:rPr>
          <w:noProof/>
          <w:sz w:val="22"/>
        </w:rPr>
        <w:t>achieving</w:t>
      </w:r>
      <w:r w:rsidR="00AD502C" w:rsidRPr="00C95F33">
        <w:rPr>
          <w:noProof/>
          <w:sz w:val="22"/>
        </w:rPr>
        <w:t xml:space="preserve"> the objectives </w:t>
      </w:r>
      <w:r w:rsidR="00AF2D41" w:rsidRPr="00C95F33">
        <w:rPr>
          <w:noProof/>
          <w:sz w:val="22"/>
        </w:rPr>
        <w:t xml:space="preserve">set </w:t>
      </w:r>
      <w:r w:rsidR="00AD502C" w:rsidRPr="00C95F33">
        <w:rPr>
          <w:noProof/>
          <w:sz w:val="22"/>
        </w:rPr>
        <w:t xml:space="preserve">by the </w:t>
      </w:r>
      <w:r w:rsidR="00623FB7" w:rsidRPr="00C95F33">
        <w:rPr>
          <w:noProof/>
          <w:sz w:val="22"/>
        </w:rPr>
        <w:t>Instrument</w:t>
      </w:r>
      <w:r w:rsidR="00AD502C" w:rsidRPr="00C95F33">
        <w:rPr>
          <w:noProof/>
          <w:sz w:val="22"/>
        </w:rPr>
        <w:t>.</w:t>
      </w:r>
      <w:r w:rsidR="004371FD" w:rsidRPr="00C95F33">
        <w:rPr>
          <w:noProof/>
          <w:sz w:val="22"/>
        </w:rPr>
        <w:t xml:space="preserve"> Indicate the names of the third countries concerned.</w:t>
      </w:r>
      <w:r w:rsidR="00AD502C" w:rsidRPr="00C95F33">
        <w:rPr>
          <w:noProof/>
          <w:sz w:val="22"/>
        </w:rPr>
        <w:t xml:space="preserve"> </w:t>
      </w:r>
      <w:r w:rsidRPr="00C95F33">
        <w:rPr>
          <w:noProof/>
          <w:sz w:val="22"/>
        </w:rPr>
        <w:t>P</w:t>
      </w:r>
      <w:r w:rsidR="00AD502C" w:rsidRPr="00C95F33">
        <w:rPr>
          <w:noProof/>
          <w:sz w:val="22"/>
        </w:rPr>
        <w:t xml:space="preserve">rovide a description that clarifies that the actions </w:t>
      </w:r>
      <w:r w:rsidR="00AF2D41" w:rsidRPr="00C95F33">
        <w:rPr>
          <w:noProof/>
          <w:sz w:val="22"/>
        </w:rPr>
        <w:t xml:space="preserve">supported by the </w:t>
      </w:r>
      <w:r w:rsidR="00623FB7" w:rsidRPr="00C95F33">
        <w:rPr>
          <w:noProof/>
          <w:sz w:val="22"/>
        </w:rPr>
        <w:t xml:space="preserve">Instrument </w:t>
      </w:r>
      <w:r w:rsidR="00AD502C" w:rsidRPr="00C95F33">
        <w:rPr>
          <w:noProof/>
          <w:sz w:val="22"/>
        </w:rPr>
        <w:t xml:space="preserve">are not development-oriented, serve the interest of internal </w:t>
      </w:r>
      <w:r w:rsidR="00D139E5" w:rsidRPr="00C95F33">
        <w:rPr>
          <w:noProof/>
          <w:sz w:val="22"/>
        </w:rPr>
        <w:t xml:space="preserve">Union </w:t>
      </w:r>
      <w:r w:rsidR="00AD502C" w:rsidRPr="00C95F33">
        <w:rPr>
          <w:noProof/>
          <w:sz w:val="22"/>
        </w:rPr>
        <w:t xml:space="preserve">policies and are consistent with activities undertaken within the </w:t>
      </w:r>
      <w:r w:rsidR="000858E5" w:rsidRPr="00C95F33">
        <w:rPr>
          <w:noProof/>
          <w:sz w:val="22"/>
        </w:rPr>
        <w:t xml:space="preserve">European </w:t>
      </w:r>
      <w:r w:rsidR="00D139E5" w:rsidRPr="00C95F33">
        <w:rPr>
          <w:noProof/>
          <w:sz w:val="22"/>
        </w:rPr>
        <w:t>Union</w:t>
      </w:r>
      <w:r w:rsidR="00AD502C" w:rsidRPr="00C95F33">
        <w:rPr>
          <w:noProof/>
          <w:sz w:val="22"/>
        </w:rPr>
        <w:t xml:space="preserve">. </w:t>
      </w:r>
      <w:r w:rsidR="00945407" w:rsidRPr="00C95F33">
        <w:rPr>
          <w:noProof/>
          <w:sz w:val="22"/>
        </w:rPr>
        <w:t xml:space="preserve">If relevant, refer </w:t>
      </w:r>
      <w:r w:rsidR="00AD502C" w:rsidRPr="00C95F33">
        <w:rPr>
          <w:noProof/>
          <w:sz w:val="22"/>
        </w:rPr>
        <w:t xml:space="preserve">to the consultations with the Commission </w:t>
      </w:r>
      <w:r w:rsidR="0001528B" w:rsidRPr="00C95F33">
        <w:rPr>
          <w:noProof/>
          <w:sz w:val="22"/>
        </w:rPr>
        <w:t>before</w:t>
      </w:r>
      <w:r w:rsidR="00AD502C" w:rsidRPr="00C95F33">
        <w:rPr>
          <w:noProof/>
          <w:sz w:val="22"/>
        </w:rPr>
        <w:t xml:space="preserve"> the project </w:t>
      </w:r>
      <w:r w:rsidR="00F72229" w:rsidRPr="00C95F33">
        <w:rPr>
          <w:noProof/>
          <w:sz w:val="22"/>
        </w:rPr>
        <w:t>was approved</w:t>
      </w:r>
      <w:r w:rsidR="00AD502C" w:rsidRPr="00C95F33">
        <w:rPr>
          <w:noProof/>
          <w:sz w:val="22"/>
        </w:rPr>
        <w:t xml:space="preserve"> (Article 13(12)</w:t>
      </w:r>
      <w:r w:rsidR="00ED3594" w:rsidRPr="00C95F33">
        <w:rPr>
          <w:noProof/>
          <w:sz w:val="22"/>
        </w:rPr>
        <w:t xml:space="preserve"> of Regulation</w:t>
      </w:r>
      <w:r w:rsidR="00046462" w:rsidRPr="00C95F33">
        <w:rPr>
          <w:noProof/>
          <w:sz w:val="22"/>
        </w:rPr>
        <w:t xml:space="preserve"> (EU) 2021/114</w:t>
      </w:r>
      <w:r w:rsidR="00236574" w:rsidRPr="00C95F33">
        <w:rPr>
          <w:noProof/>
          <w:sz w:val="22"/>
        </w:rPr>
        <w:t>8</w:t>
      </w:r>
      <w:r w:rsidR="00AD502C" w:rsidRPr="00C95F33">
        <w:rPr>
          <w:noProof/>
          <w:sz w:val="22"/>
        </w:rPr>
        <w:t>).</w:t>
      </w:r>
    </w:p>
    <w:tbl>
      <w:tblPr>
        <w:tblStyle w:val="Grilledutableau"/>
        <w:tblW w:w="0" w:type="auto"/>
        <w:tblLook w:val="04A0" w:firstRow="1" w:lastRow="0" w:firstColumn="1" w:lastColumn="0" w:noHBand="0" w:noVBand="1"/>
      </w:tblPr>
      <w:tblGrid>
        <w:gridCol w:w="9289"/>
      </w:tblGrid>
      <w:tr w:rsidR="00C95F33" w:rsidRPr="00C95F33" w14:paraId="2B42DDB7" w14:textId="77777777" w:rsidTr="00E45665">
        <w:tc>
          <w:tcPr>
            <w:tcW w:w="9289" w:type="dxa"/>
          </w:tcPr>
          <w:p w14:paraId="3521B2F0" w14:textId="77777777" w:rsidR="00AD502C" w:rsidRPr="00C95F33" w:rsidRDefault="00426432" w:rsidP="007C672A">
            <w:pPr>
              <w:pStyle w:val="Personnequisigne"/>
              <w:rPr>
                <w:noProof/>
              </w:rPr>
            </w:pPr>
            <w:r w:rsidRPr="00C95F33">
              <w:rPr>
                <w:noProof/>
              </w:rPr>
              <w:t>No projects in or in relation to third countries have been selected during the reference period. Hence, no Commission consultations have taken place.</w:t>
            </w:r>
          </w:p>
          <w:p w14:paraId="10E48EB1" w14:textId="620D5924" w:rsidR="00ED3969" w:rsidRPr="00C95F33" w:rsidRDefault="00ED3969" w:rsidP="00ED3969">
            <w:pPr>
              <w:pStyle w:val="Personnequisigne"/>
            </w:pPr>
          </w:p>
        </w:tc>
      </w:tr>
    </w:tbl>
    <w:p w14:paraId="3F407EE9" w14:textId="48156765" w:rsidR="00AD502C" w:rsidRPr="00C95F33" w:rsidRDefault="00457D1B" w:rsidP="00457D1B">
      <w:pPr>
        <w:pStyle w:val="ManualHeading1"/>
        <w:rPr>
          <w:noProof/>
        </w:rPr>
      </w:pPr>
      <w:r w:rsidRPr="00C95F33">
        <w:t>7.</w:t>
      </w:r>
      <w:r w:rsidRPr="00C95F33">
        <w:tab/>
      </w:r>
      <w:r w:rsidR="00AD502C" w:rsidRPr="00C95F33">
        <w:rPr>
          <w:noProof/>
        </w:rPr>
        <w:t>Summary – Article 29(2) of Regulation (EU) 2021/1148</w:t>
      </w:r>
    </w:p>
    <w:p w14:paraId="28518AC9" w14:textId="77777777" w:rsidR="00AD502C" w:rsidRPr="00C95F33" w:rsidRDefault="007775C9" w:rsidP="00AD502C">
      <w:pPr>
        <w:rPr>
          <w:noProof/>
          <w:sz w:val="22"/>
        </w:rPr>
      </w:pPr>
      <w:r w:rsidRPr="00C95F33">
        <w:rPr>
          <w:noProof/>
          <w:sz w:val="22"/>
        </w:rPr>
        <w:t>P</w:t>
      </w:r>
      <w:r w:rsidR="00AD502C" w:rsidRPr="00C95F33">
        <w:rPr>
          <w:noProof/>
          <w:sz w:val="22"/>
        </w:rPr>
        <w:t xml:space="preserve">rovide a summary of the </w:t>
      </w:r>
      <w:r w:rsidR="00B043A6" w:rsidRPr="00C95F33">
        <w:rPr>
          <w:noProof/>
          <w:sz w:val="22"/>
        </w:rPr>
        <w:t>S</w:t>
      </w:r>
      <w:r w:rsidR="00AD502C" w:rsidRPr="00C95F33">
        <w:rPr>
          <w:noProof/>
          <w:sz w:val="22"/>
        </w:rPr>
        <w:t xml:space="preserve">ections </w:t>
      </w:r>
      <w:r w:rsidR="00B043A6" w:rsidRPr="00C95F33">
        <w:rPr>
          <w:noProof/>
          <w:sz w:val="22"/>
        </w:rPr>
        <w:t>1 to 6</w:t>
      </w:r>
      <w:r w:rsidR="00AD502C" w:rsidRPr="00C95F33">
        <w:rPr>
          <w:noProof/>
          <w:sz w:val="22"/>
        </w:rPr>
        <w:t xml:space="preserve">, which will be translated and made available to the public. </w:t>
      </w:r>
    </w:p>
    <w:p w14:paraId="5B460833" w14:textId="77777777" w:rsidR="00AD502C" w:rsidRPr="00C95F33" w:rsidRDefault="00AD502C" w:rsidP="00AD502C">
      <w:pPr>
        <w:rPr>
          <w:noProof/>
          <w:sz w:val="22"/>
        </w:rPr>
      </w:pPr>
      <w:r w:rsidRPr="00C95F33">
        <w:rPr>
          <w:noProof/>
          <w:sz w:val="22"/>
        </w:rPr>
        <w:t xml:space="preserve">As a minimum, the summary </w:t>
      </w:r>
      <w:r w:rsidR="0001528B" w:rsidRPr="00C95F33">
        <w:rPr>
          <w:noProof/>
          <w:sz w:val="22"/>
        </w:rPr>
        <w:t xml:space="preserve">must </w:t>
      </w:r>
      <w:r w:rsidRPr="00C95F33">
        <w:rPr>
          <w:noProof/>
          <w:sz w:val="22"/>
        </w:rPr>
        <w:t xml:space="preserve">cover all the points listed in </w:t>
      </w:r>
      <w:r w:rsidR="00AA72E3" w:rsidRPr="00C95F33">
        <w:rPr>
          <w:noProof/>
          <w:sz w:val="22"/>
        </w:rPr>
        <w:t>A</w:t>
      </w:r>
      <w:r w:rsidRPr="00C95F33">
        <w:rPr>
          <w:noProof/>
          <w:sz w:val="22"/>
        </w:rPr>
        <w:t xml:space="preserve">rticle 29(2), and should </w:t>
      </w:r>
      <w:r w:rsidR="00F611C1" w:rsidRPr="00C95F33">
        <w:rPr>
          <w:noProof/>
          <w:sz w:val="22"/>
        </w:rPr>
        <w:t xml:space="preserve">preferably </w:t>
      </w:r>
      <w:r w:rsidRPr="00C95F33">
        <w:rPr>
          <w:noProof/>
          <w:sz w:val="22"/>
        </w:rPr>
        <w:t xml:space="preserve">be structured around them. </w:t>
      </w:r>
    </w:p>
    <w:p w14:paraId="28B57BCC" w14:textId="77777777" w:rsidR="00AD502C" w:rsidRPr="00C95F33" w:rsidRDefault="00AD502C" w:rsidP="00AD502C">
      <w:pPr>
        <w:rPr>
          <w:noProof/>
          <w:sz w:val="22"/>
        </w:rPr>
      </w:pPr>
      <w:r w:rsidRPr="00C95F33">
        <w:rPr>
          <w:noProof/>
          <w:sz w:val="22"/>
        </w:rPr>
        <w:lastRenderedPageBreak/>
        <w:t xml:space="preserve">The use of bullet points, bold text or informative headings is encouraged, so that </w:t>
      </w:r>
      <w:r w:rsidR="00F611C1" w:rsidRPr="00C95F33">
        <w:rPr>
          <w:noProof/>
          <w:sz w:val="22"/>
        </w:rPr>
        <w:t xml:space="preserve">interested stakeholders can easily identify </w:t>
      </w:r>
      <w:r w:rsidRPr="00C95F33">
        <w:rPr>
          <w:noProof/>
          <w:sz w:val="22"/>
        </w:rPr>
        <w:t xml:space="preserve">the </w:t>
      </w:r>
      <w:r w:rsidR="00F611C1" w:rsidRPr="00C95F33">
        <w:rPr>
          <w:noProof/>
          <w:sz w:val="22"/>
        </w:rPr>
        <w:t>programme’s</w:t>
      </w:r>
      <w:r w:rsidRPr="00C95F33">
        <w:rPr>
          <w:noProof/>
          <w:sz w:val="22"/>
        </w:rPr>
        <w:t xml:space="preserve"> main achievements </w:t>
      </w:r>
      <w:r w:rsidR="00F611C1" w:rsidRPr="00C95F33">
        <w:rPr>
          <w:noProof/>
          <w:sz w:val="22"/>
        </w:rPr>
        <w:t>and the</w:t>
      </w:r>
      <w:r w:rsidRPr="00C95F33">
        <w:rPr>
          <w:noProof/>
          <w:sz w:val="22"/>
        </w:rPr>
        <w:t xml:space="preserve"> main issues affecting its performance</w:t>
      </w:r>
      <w:r w:rsidR="00F611C1" w:rsidRPr="00C95F33">
        <w:rPr>
          <w:noProof/>
          <w:sz w:val="22"/>
        </w:rPr>
        <w:t>.</w:t>
      </w:r>
    </w:p>
    <w:tbl>
      <w:tblPr>
        <w:tblStyle w:val="Grilledutableau"/>
        <w:tblW w:w="0" w:type="auto"/>
        <w:tblLook w:val="04A0" w:firstRow="1" w:lastRow="0" w:firstColumn="1" w:lastColumn="0" w:noHBand="0" w:noVBand="1"/>
      </w:tblPr>
      <w:tblGrid>
        <w:gridCol w:w="9289"/>
      </w:tblGrid>
      <w:tr w:rsidR="00AD502C" w:rsidRPr="00C95F33" w14:paraId="21A19F69" w14:textId="77777777" w:rsidTr="00E45665">
        <w:tc>
          <w:tcPr>
            <w:tcW w:w="9289" w:type="dxa"/>
          </w:tcPr>
          <w:p w14:paraId="40FEC56D" w14:textId="6EB7D7DB" w:rsidR="00EE6102" w:rsidRPr="00C95F33" w:rsidRDefault="00EE6102" w:rsidP="00192F9E">
            <w:pPr>
              <w:pStyle w:val="Personnequisigne"/>
              <w:numPr>
                <w:ilvl w:val="0"/>
                <w:numId w:val="48"/>
              </w:numPr>
              <w:jc w:val="both"/>
              <w:rPr>
                <w:bCs/>
                <w:noProof/>
              </w:rPr>
            </w:pPr>
            <w:r w:rsidRPr="00C95F33">
              <w:rPr>
                <w:bCs/>
                <w:noProof/>
              </w:rPr>
              <w:t xml:space="preserve">In terms of </w:t>
            </w:r>
            <w:r w:rsidRPr="00C95F33">
              <w:rPr>
                <w:bCs/>
                <w:noProof/>
                <w:u w:val="single"/>
              </w:rPr>
              <w:t>progress</w:t>
            </w:r>
            <w:r w:rsidR="00C22CD5" w:rsidRPr="00C95F33">
              <w:rPr>
                <w:bCs/>
                <w:noProof/>
                <w:u w:val="single"/>
              </w:rPr>
              <w:t xml:space="preserve"> in implementation</w:t>
            </w:r>
            <w:r w:rsidRPr="00C95F33">
              <w:rPr>
                <w:bCs/>
                <w:noProof/>
              </w:rPr>
              <w:t>:</w:t>
            </w:r>
          </w:p>
          <w:p w14:paraId="0C331536" w14:textId="6EB56C0B" w:rsidR="0099611C" w:rsidRPr="00C95F33" w:rsidRDefault="00433679" w:rsidP="00EE6102">
            <w:pPr>
              <w:pStyle w:val="Personnequisigne"/>
              <w:numPr>
                <w:ilvl w:val="1"/>
                <w:numId w:val="48"/>
              </w:numPr>
              <w:jc w:val="both"/>
              <w:rPr>
                <w:bCs/>
                <w:noProof/>
              </w:rPr>
            </w:pPr>
            <w:r w:rsidRPr="00C95F33">
              <w:rPr>
                <w:bCs/>
                <w:noProof/>
              </w:rPr>
              <w:t>During the reference period (01/07/2022 - 30/06/2023), 15 projects have been selected under SO1, for a total EU subsidy amount of € 20.615.205,95 and a total project value of € 26.805.786,80 (this includes the national co-financing). Under SO2, one single project has been selected, and this for a total EU subsidy amount of € 3.333.333,34 and a total project value of € 4.400.000,00.</w:t>
            </w:r>
          </w:p>
          <w:p w14:paraId="2B85D831" w14:textId="77777777" w:rsidR="0099611C" w:rsidRPr="00C95F33" w:rsidRDefault="00433679" w:rsidP="00C22CD5">
            <w:pPr>
              <w:pStyle w:val="Personnequisigne"/>
              <w:numPr>
                <w:ilvl w:val="1"/>
                <w:numId w:val="48"/>
              </w:numPr>
              <w:jc w:val="both"/>
              <w:rPr>
                <w:bCs/>
                <w:noProof/>
              </w:rPr>
            </w:pPr>
            <w:r w:rsidRPr="00C95F33">
              <w:rPr>
                <w:bCs/>
                <w:noProof/>
              </w:rPr>
              <w:t xml:space="preserve">In terms of focus, the large majority of the projects - and thus also the EU funding - situate themselves in the domain of 'Smart Borders', and concern primarily the continued development and/or implementation / maintenance of EU Smart Borders systems (including EES, ETIAS, SIS, etc.) and ensuring their interoperability. </w:t>
            </w:r>
          </w:p>
          <w:p w14:paraId="7C9FA997" w14:textId="77777777" w:rsidR="0099611C" w:rsidRPr="00C95F33" w:rsidRDefault="0099611C" w:rsidP="00C22CD5">
            <w:pPr>
              <w:pStyle w:val="Personnequisigne"/>
              <w:numPr>
                <w:ilvl w:val="1"/>
                <w:numId w:val="48"/>
              </w:numPr>
              <w:jc w:val="both"/>
              <w:rPr>
                <w:bCs/>
                <w:noProof/>
              </w:rPr>
            </w:pPr>
            <w:r w:rsidRPr="00C95F33">
              <w:rPr>
                <w:bCs/>
                <w:noProof/>
              </w:rPr>
              <w:t>B</w:t>
            </w:r>
            <w:r w:rsidR="00433679" w:rsidRPr="00C95F33">
              <w:rPr>
                <w:bCs/>
                <w:noProof/>
              </w:rPr>
              <w:t>y focusing on these actions, BE also contributes in a significant manner to ensuring the implementation on BE level of relevant EU acquis in these fields (ETIAS Regulation, EES Regulation, SIS RECAST, etc.).</w:t>
            </w:r>
          </w:p>
          <w:p w14:paraId="1606D47E" w14:textId="556494B7" w:rsidR="00D75443" w:rsidRPr="00C95F33" w:rsidRDefault="00433679" w:rsidP="00C22CD5">
            <w:pPr>
              <w:pStyle w:val="Personnequisigne"/>
              <w:numPr>
                <w:ilvl w:val="1"/>
                <w:numId w:val="48"/>
              </w:numPr>
              <w:jc w:val="both"/>
              <w:rPr>
                <w:bCs/>
                <w:noProof/>
              </w:rPr>
            </w:pPr>
            <w:r w:rsidRPr="00C95F33">
              <w:rPr>
                <w:bCs/>
                <w:noProof/>
              </w:rPr>
              <w:t>Under SO2, the only project selected focuses on ensuring the maintenance and system updates of the BELVIS Message Broker.</w:t>
            </w:r>
          </w:p>
          <w:p w14:paraId="0EAA120A" w14:textId="2CC48402" w:rsidR="00674F45" w:rsidRPr="00C95F33" w:rsidRDefault="00674F45" w:rsidP="00674F45">
            <w:pPr>
              <w:pStyle w:val="Personnequisigne"/>
              <w:numPr>
                <w:ilvl w:val="1"/>
                <w:numId w:val="48"/>
              </w:numPr>
              <w:jc w:val="both"/>
              <w:rPr>
                <w:bCs/>
                <w:noProof/>
              </w:rPr>
            </w:pPr>
            <w:r w:rsidRPr="00C95F33">
              <w:rPr>
                <w:bCs/>
                <w:noProof/>
                <w:u w:val="single"/>
              </w:rPr>
              <w:t>Operating support</w:t>
            </w:r>
            <w:r w:rsidRPr="00C95F33">
              <w:rPr>
                <w:bCs/>
                <w:noProof/>
              </w:rPr>
              <w:t xml:space="preserve"> was used to finance 1 project (titled ‘EU Message Broker Staff’) at 100 %. The total project budget amounts to € 2.100.000,00. The aim of the project is to provide support for the setting-up of the different IT-systems required for the implementation of the EU legal instruments in the field of border management &amp; visa.</w:t>
            </w:r>
          </w:p>
          <w:p w14:paraId="0A090F2E" w14:textId="15894F2F" w:rsidR="002456D6" w:rsidRPr="00C95F33" w:rsidRDefault="002456D6" w:rsidP="002456D6">
            <w:pPr>
              <w:pStyle w:val="Personnequisigne"/>
              <w:numPr>
                <w:ilvl w:val="1"/>
                <w:numId w:val="48"/>
              </w:numPr>
              <w:jc w:val="both"/>
            </w:pPr>
            <w:r w:rsidRPr="00C95F33">
              <w:t xml:space="preserve">No </w:t>
            </w:r>
            <w:r w:rsidRPr="00C95F33">
              <w:rPr>
                <w:u w:val="single"/>
              </w:rPr>
              <w:t>specific actions</w:t>
            </w:r>
            <w:r w:rsidRPr="00C95F33">
              <w:t xml:space="preserve"> were carried out in the reference period.</w:t>
            </w:r>
          </w:p>
          <w:p w14:paraId="4BBCFE51" w14:textId="77777777" w:rsidR="00D75443" w:rsidRPr="00C95F33" w:rsidRDefault="00433679" w:rsidP="00C22CD5">
            <w:pPr>
              <w:pStyle w:val="Personnequisigne"/>
              <w:numPr>
                <w:ilvl w:val="1"/>
                <w:numId w:val="48"/>
              </w:numPr>
              <w:jc w:val="both"/>
              <w:rPr>
                <w:bCs/>
                <w:noProof/>
              </w:rPr>
            </w:pPr>
            <w:r w:rsidRPr="00C95F33">
              <w:rPr>
                <w:bCs/>
                <w:noProof/>
              </w:rPr>
              <w:t xml:space="preserve">In terms of implementation, the majority of the projects are well underway and no significant delays / problems have been signalled. </w:t>
            </w:r>
          </w:p>
          <w:p w14:paraId="186FC894" w14:textId="78536944" w:rsidR="00EE6102" w:rsidRPr="00C95F33" w:rsidRDefault="00EE6102" w:rsidP="00192F9E">
            <w:pPr>
              <w:pStyle w:val="Personnequisigne"/>
              <w:numPr>
                <w:ilvl w:val="0"/>
                <w:numId w:val="48"/>
              </w:numPr>
              <w:jc w:val="both"/>
            </w:pPr>
            <w:r w:rsidRPr="00C95F33">
              <w:t xml:space="preserve">In terms of </w:t>
            </w:r>
            <w:r w:rsidR="00C22CD5" w:rsidRPr="00C95F33">
              <w:rPr>
                <w:u w:val="single"/>
              </w:rPr>
              <w:t>issues affecting performance</w:t>
            </w:r>
            <w:r w:rsidRPr="00C95F33">
              <w:t>:</w:t>
            </w:r>
          </w:p>
          <w:p w14:paraId="64FBFE7F" w14:textId="483AF257" w:rsidR="00890200" w:rsidRPr="00C95F33" w:rsidRDefault="00D75443" w:rsidP="00EE6102">
            <w:pPr>
              <w:pStyle w:val="Personnequisigne"/>
              <w:numPr>
                <w:ilvl w:val="1"/>
                <w:numId w:val="48"/>
              </w:numPr>
              <w:jc w:val="both"/>
            </w:pPr>
            <w:r w:rsidRPr="00C95F33">
              <w:t xml:space="preserve">The </w:t>
            </w:r>
            <w:r w:rsidRPr="00C95F33">
              <w:rPr>
                <w:u w:val="single"/>
              </w:rPr>
              <w:t>main</w:t>
            </w:r>
            <w:r w:rsidRPr="00C95F33">
              <w:t xml:space="preserve"> </w:t>
            </w:r>
            <w:r w:rsidRPr="00C95F33">
              <w:rPr>
                <w:u w:val="single"/>
              </w:rPr>
              <w:t>obstacle</w:t>
            </w:r>
            <w:r w:rsidRPr="00C95F33">
              <w:t xml:space="preserve"> affecting the performance of projects under all SO’s was the late approval of projects. Projects only received grant agreements in December 2022 / January 2023. This caused significant delays with regard to the start of the projects (hiring staff / starting public procurement procedures).</w:t>
            </w:r>
          </w:p>
          <w:p w14:paraId="2506F346" w14:textId="77777777" w:rsidR="00890200" w:rsidRPr="00C95F33" w:rsidRDefault="00D75443" w:rsidP="00EE6102">
            <w:pPr>
              <w:pStyle w:val="Personnequisigne"/>
              <w:numPr>
                <w:ilvl w:val="1"/>
                <w:numId w:val="48"/>
              </w:numPr>
              <w:jc w:val="both"/>
            </w:pPr>
            <w:r w:rsidRPr="00C95F33">
              <w:t xml:space="preserve">Under SO 1 (Border Management), there remains considerably uncertainty – both on the level of the Managing Authority as on the level of the final beneficiaries – with regard to the concrete implications of the (lack of) funding for the ETIAS National Unit. </w:t>
            </w:r>
          </w:p>
          <w:p w14:paraId="2B360C7B" w14:textId="77777777" w:rsidR="008B2DD3" w:rsidRPr="00C95F33" w:rsidRDefault="00D75443" w:rsidP="00EE6102">
            <w:pPr>
              <w:pStyle w:val="Personnequisigne"/>
              <w:numPr>
                <w:ilvl w:val="1"/>
                <w:numId w:val="48"/>
              </w:numPr>
              <w:jc w:val="both"/>
            </w:pPr>
            <w:r w:rsidRPr="00C95F33">
              <w:t>Under SO2 (Visa), the main beneficiary (Ministry of Foreign Affairs) has decided not to apply for Home Affairs funding anymore, mainly due to administrative reasons (lack of capacity with</w:t>
            </w:r>
            <w:r w:rsidR="00890200" w:rsidRPr="00C95F33">
              <w:t>in</w:t>
            </w:r>
            <w:r w:rsidRPr="00C95F33">
              <w:t xml:space="preserve"> the organisation, combined to the heavy administrative burden associated with obtaining and justifying expenditure). </w:t>
            </w:r>
          </w:p>
          <w:p w14:paraId="3B246354" w14:textId="7421502A" w:rsidR="00192F9E" w:rsidRPr="00C95F33" w:rsidRDefault="00D75443" w:rsidP="00EE6102">
            <w:pPr>
              <w:pStyle w:val="Personnequisigne"/>
              <w:numPr>
                <w:ilvl w:val="1"/>
                <w:numId w:val="48"/>
              </w:numPr>
              <w:jc w:val="both"/>
            </w:pPr>
            <w:r w:rsidRPr="00C95F33">
              <w:t>As a consequence, certain actions in the NP under SO2 are unlikely to take place in the short and middle term. These concern for example the purchasing of additional VIS equipment for consular posts, the (continued) employment of locally recruited ‘Document Verification Officers’ (DVO’s), etc. This also has a significant impact on the milestones and targets set forward wit</w:t>
            </w:r>
            <w:r w:rsidR="00192F9E" w:rsidRPr="00C95F33">
              <w:t>h regard to the SO2 indicators.</w:t>
            </w:r>
          </w:p>
          <w:p w14:paraId="42B9F4BE" w14:textId="77777777" w:rsidR="00A646D5" w:rsidRPr="00C95F33" w:rsidRDefault="00192F9E" w:rsidP="00510F24">
            <w:pPr>
              <w:pStyle w:val="Personnequisigne"/>
              <w:numPr>
                <w:ilvl w:val="0"/>
                <w:numId w:val="48"/>
              </w:numPr>
              <w:jc w:val="both"/>
            </w:pPr>
            <w:r w:rsidRPr="00C95F33">
              <w:t xml:space="preserve">In terms of </w:t>
            </w:r>
            <w:r w:rsidRPr="00C95F33">
              <w:rPr>
                <w:u w:val="single"/>
              </w:rPr>
              <w:t>communication and visibility</w:t>
            </w:r>
            <w:r w:rsidRPr="00C95F33">
              <w:t xml:space="preserve">, </w:t>
            </w:r>
            <w:r w:rsidR="00EF1F1D" w:rsidRPr="00C95F33">
              <w:t>the website of the Managing Authority has been updated</w:t>
            </w:r>
            <w:r w:rsidR="009D6E48" w:rsidRPr="00C95F33">
              <w:t xml:space="preserve"> in order to accommodate the 2021-2027 programming period</w:t>
            </w:r>
            <w:r w:rsidR="00C625CC" w:rsidRPr="00C95F33">
              <w:t>. Also, a unique portal has been put in place under the name ‘</w:t>
            </w:r>
            <w:r w:rsidR="00C625CC" w:rsidRPr="00C95F33">
              <w:rPr>
                <w:szCs w:val="24"/>
                <w:lang w:val="en-US"/>
              </w:rPr>
              <w:t xml:space="preserve">Europe in Belgium’. Lastly, a </w:t>
            </w:r>
            <w:r w:rsidR="00C625CC" w:rsidRPr="00C95F33">
              <w:rPr>
                <w:szCs w:val="24"/>
                <w:lang w:val="en-US"/>
              </w:rPr>
              <w:lastRenderedPageBreak/>
              <w:t>Communication Officer has been designated within the Managing Authority.</w:t>
            </w:r>
          </w:p>
          <w:p w14:paraId="52DA47E4" w14:textId="03F1E305" w:rsidR="00A646D5" w:rsidRPr="00C95F33" w:rsidRDefault="00A646D5" w:rsidP="00510F24">
            <w:pPr>
              <w:pStyle w:val="Personnequisigne"/>
              <w:numPr>
                <w:ilvl w:val="0"/>
                <w:numId w:val="48"/>
              </w:numPr>
              <w:jc w:val="both"/>
            </w:pPr>
            <w:r w:rsidRPr="00C95F33">
              <w:t xml:space="preserve">With regard to the </w:t>
            </w:r>
            <w:r w:rsidRPr="00C95F33">
              <w:rPr>
                <w:u w:val="single"/>
              </w:rPr>
              <w:t>enabling conditions</w:t>
            </w:r>
            <w:r w:rsidRPr="00C95F33">
              <w:t xml:space="preserve"> and </w:t>
            </w:r>
            <w:r w:rsidRPr="00C95F33">
              <w:rPr>
                <w:u w:val="single"/>
              </w:rPr>
              <w:t>horizontal principles</w:t>
            </w:r>
            <w:r w:rsidRPr="00C95F33">
              <w:t>, there are no specific points of attention. No complaints have been received so far.</w:t>
            </w:r>
          </w:p>
          <w:p w14:paraId="7E7A34FB" w14:textId="7929C793" w:rsidR="00433679" w:rsidRPr="00C95F33" w:rsidRDefault="00192F9E" w:rsidP="00510F24">
            <w:pPr>
              <w:pStyle w:val="Personnequisigne"/>
              <w:numPr>
                <w:ilvl w:val="0"/>
                <w:numId w:val="48"/>
              </w:numPr>
              <w:jc w:val="both"/>
            </w:pPr>
            <w:r w:rsidRPr="00C95F33">
              <w:t xml:space="preserve">No </w:t>
            </w:r>
            <w:r w:rsidRPr="00C95F33">
              <w:rPr>
                <w:u w:val="single"/>
              </w:rPr>
              <w:t>projects in or in relation to third countries</w:t>
            </w:r>
            <w:r w:rsidRPr="00C95F33">
              <w:t xml:space="preserve"> have been selected during the reference period. Hence, no Commission consultations have taken place.</w:t>
            </w:r>
          </w:p>
          <w:p w14:paraId="555B10D5" w14:textId="408D0EB6" w:rsidR="00A646D5" w:rsidRPr="00C95F33" w:rsidRDefault="00A646D5" w:rsidP="00AF6FB1">
            <w:pPr>
              <w:pStyle w:val="Personnequisigne"/>
            </w:pPr>
          </w:p>
        </w:tc>
      </w:tr>
    </w:tbl>
    <w:p w14:paraId="506D456D" w14:textId="77777777" w:rsidR="006A41E2" w:rsidRPr="00C95F33" w:rsidRDefault="006A41E2">
      <w:pPr>
        <w:rPr>
          <w:noProof/>
        </w:rPr>
      </w:pPr>
    </w:p>
    <w:sectPr w:rsidR="006A41E2" w:rsidRPr="00C95F33" w:rsidSect="007720C2">
      <w:footerReference w:type="default" r:id="rId20"/>
      <w:footerReference w:type="first" r:id="rId21"/>
      <w:pgSz w:w="11907" w:h="16839"/>
      <w:pgMar w:top="1134" w:right="1417" w:bottom="1134" w:left="1417"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9E43" w16cex:dateUtc="2022-09-30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DEBA2" w16cid:durableId="26E19E43"/>
  <w16cid:commentId w16cid:paraId="0F0598E3" w16cid:durableId="26E19DD8"/>
  <w16cid:commentId w16cid:paraId="1D1F50FB" w16cid:durableId="26E19DD9"/>
  <w16cid:commentId w16cid:paraId="0A95E80E" w16cid:durableId="26E19DDA"/>
  <w16cid:commentId w16cid:paraId="36BF453A" w16cid:durableId="26E19DDB"/>
  <w16cid:commentId w16cid:paraId="32ED682D" w16cid:durableId="26E19DDC"/>
  <w16cid:commentId w16cid:paraId="430A65E1" w16cid:durableId="26E19DDD"/>
  <w16cid:commentId w16cid:paraId="6582309A" w16cid:durableId="26E19DDE"/>
  <w16cid:commentId w16cid:paraId="0901A960" w16cid:durableId="26E19DDF"/>
  <w16cid:commentId w16cid:paraId="63EEDF2E" w16cid:durableId="26E19DE0"/>
  <w16cid:commentId w16cid:paraId="02BF7D98" w16cid:durableId="26E19DE1"/>
  <w16cid:commentId w16cid:paraId="143B7C44" w16cid:durableId="26E19D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CF82" w14:textId="77777777" w:rsidR="003651F7" w:rsidRDefault="003651F7" w:rsidP="00555224">
      <w:pPr>
        <w:spacing w:before="0" w:after="0"/>
      </w:pPr>
      <w:r>
        <w:separator/>
      </w:r>
    </w:p>
  </w:endnote>
  <w:endnote w:type="continuationSeparator" w:id="0">
    <w:p w14:paraId="03F2CC3F" w14:textId="77777777" w:rsidR="003651F7" w:rsidRDefault="003651F7" w:rsidP="00555224">
      <w:pPr>
        <w:spacing w:before="0" w:after="0"/>
      </w:pPr>
      <w:r>
        <w:continuationSeparator/>
      </w:r>
    </w:p>
  </w:endnote>
  <w:endnote w:type="continuationNotice" w:id="1">
    <w:p w14:paraId="4B3A5042" w14:textId="77777777" w:rsidR="003651F7" w:rsidRDefault="003651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A999" w14:textId="77777777" w:rsidR="007720C2" w:rsidRPr="007720C2" w:rsidRDefault="007720C2" w:rsidP="007720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D063" w14:textId="588DB5F5" w:rsidR="00FD144E" w:rsidRPr="007720C2" w:rsidRDefault="007720C2" w:rsidP="007720C2">
    <w:pPr>
      <w:pStyle w:val="Pieddepage"/>
      <w:rPr>
        <w:rFonts w:ascii="Arial" w:hAnsi="Arial" w:cs="Arial"/>
        <w:b/>
        <w:sz w:val="48"/>
      </w:rPr>
    </w:pPr>
    <w:r w:rsidRPr="007720C2">
      <w:rPr>
        <w:rFonts w:ascii="Arial" w:hAnsi="Arial" w:cs="Arial"/>
        <w:b/>
        <w:sz w:val="48"/>
      </w:rPr>
      <w:t>EN</w:t>
    </w:r>
    <w:r w:rsidRPr="007720C2">
      <w:rPr>
        <w:rFonts w:ascii="Arial" w:hAnsi="Arial" w:cs="Arial"/>
        <w:b/>
        <w:sz w:val="48"/>
      </w:rPr>
      <w:tab/>
    </w:r>
    <w:r w:rsidRPr="007720C2">
      <w:rPr>
        <w:rFonts w:ascii="Arial" w:hAnsi="Arial" w:cs="Arial"/>
        <w:b/>
        <w:sz w:val="48"/>
      </w:rPr>
      <w:tab/>
    </w:r>
    <w:r w:rsidRPr="007720C2">
      <w:tab/>
    </w:r>
    <w:r w:rsidRPr="007720C2">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E99A" w14:textId="77777777" w:rsidR="007720C2" w:rsidRPr="007720C2" w:rsidRDefault="007720C2" w:rsidP="007720C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B62E" w14:textId="4BCDFA0A" w:rsidR="007720C2" w:rsidRPr="007720C2" w:rsidRDefault="007720C2" w:rsidP="007720C2">
    <w:pPr>
      <w:pStyle w:val="Pieddepage"/>
      <w:rPr>
        <w:rFonts w:ascii="Arial" w:hAnsi="Arial" w:cs="Arial"/>
        <w:b/>
        <w:sz w:val="48"/>
      </w:rPr>
    </w:pPr>
    <w:r w:rsidRPr="007720C2">
      <w:rPr>
        <w:rFonts w:ascii="Arial" w:hAnsi="Arial" w:cs="Arial"/>
        <w:b/>
        <w:sz w:val="48"/>
      </w:rPr>
      <w:t>EN</w:t>
    </w:r>
    <w:r w:rsidRPr="007720C2">
      <w:rPr>
        <w:rFonts w:ascii="Arial" w:hAnsi="Arial" w:cs="Arial"/>
        <w:b/>
        <w:sz w:val="48"/>
      </w:rPr>
      <w:tab/>
    </w:r>
    <w:r>
      <w:fldChar w:fldCharType="begin"/>
    </w:r>
    <w:r>
      <w:instrText xml:space="preserve"> PAGE  \* MERGEFORMAT </w:instrText>
    </w:r>
    <w:r>
      <w:fldChar w:fldCharType="separate"/>
    </w:r>
    <w:r w:rsidR="00C95F33">
      <w:rPr>
        <w:noProof/>
      </w:rPr>
      <w:t>3</w:t>
    </w:r>
    <w:r>
      <w:fldChar w:fldCharType="end"/>
    </w:r>
    <w:r>
      <w:tab/>
    </w:r>
    <w:r w:rsidRPr="007720C2">
      <w:tab/>
    </w:r>
    <w:r w:rsidRPr="007720C2">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2A4E" w14:textId="77777777" w:rsidR="007720C2" w:rsidRPr="007720C2" w:rsidRDefault="007720C2" w:rsidP="007720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139A" w14:textId="77777777" w:rsidR="003651F7" w:rsidRDefault="003651F7" w:rsidP="00555224">
      <w:pPr>
        <w:spacing w:before="0" w:after="0"/>
      </w:pPr>
      <w:r>
        <w:separator/>
      </w:r>
    </w:p>
  </w:footnote>
  <w:footnote w:type="continuationSeparator" w:id="0">
    <w:p w14:paraId="46F62FB8" w14:textId="77777777" w:rsidR="003651F7" w:rsidRDefault="003651F7" w:rsidP="00555224">
      <w:pPr>
        <w:spacing w:before="0" w:after="0"/>
      </w:pPr>
      <w:r>
        <w:continuationSeparator/>
      </w:r>
    </w:p>
  </w:footnote>
  <w:footnote w:type="continuationNotice" w:id="1">
    <w:p w14:paraId="0462F127" w14:textId="77777777" w:rsidR="003651F7" w:rsidRDefault="003651F7">
      <w:pPr>
        <w:spacing w:before="0" w:after="0"/>
      </w:pPr>
    </w:p>
  </w:footnote>
  <w:footnote w:id="2">
    <w:p w14:paraId="31550203" w14:textId="77777777" w:rsidR="003651F7" w:rsidRPr="00FD144E" w:rsidRDefault="003651F7">
      <w:pPr>
        <w:pStyle w:val="Notedebasdepage"/>
        <w:rPr>
          <w:sz w:val="18"/>
          <w:lang w:val="en-IE"/>
        </w:rPr>
      </w:pPr>
      <w:r w:rsidRPr="00FD144E">
        <w:rPr>
          <w:rStyle w:val="Appelnotedebasdep"/>
        </w:rPr>
        <w:footnoteRef/>
      </w:r>
      <w:r w:rsidRPr="00FD144E">
        <w:rPr>
          <w:sz w:val="18"/>
          <w:lang w:val="en-IE"/>
        </w:rPr>
        <w:tab/>
      </w:r>
      <w:r w:rsidRPr="00FD144E">
        <w:rPr>
          <w:sz w:val="18"/>
        </w:rPr>
        <w:t>This refers to the situation when there is a gap between the nominal target achievement rate measured by the indicators and the actual progress in implementation. For instance, under-reporting of output and results could be due to issues with the development of the IT system, ongoing operations for which output and results are not yet reported, issues with the data collection leading to slow or incomplete reporting, etc.</w:t>
      </w:r>
    </w:p>
  </w:footnote>
  <w:footnote w:id="3">
    <w:p w14:paraId="253B0056" w14:textId="77777777" w:rsidR="003651F7" w:rsidRPr="00FD144E" w:rsidRDefault="003651F7">
      <w:pPr>
        <w:pStyle w:val="Notedebasdepage"/>
        <w:rPr>
          <w:sz w:val="18"/>
          <w:lang w:val="en-IE"/>
        </w:rPr>
      </w:pPr>
      <w:r w:rsidRPr="00FD144E">
        <w:rPr>
          <w:rStyle w:val="Appelnotedebasdep"/>
        </w:rPr>
        <w:footnoteRef/>
      </w:r>
      <w:r w:rsidRPr="00FD144E">
        <w:rPr>
          <w:sz w:val="18"/>
          <w:lang w:val="en-IE"/>
        </w:rPr>
        <w:tab/>
      </w:r>
      <w:r w:rsidRPr="00FD144E">
        <w:rPr>
          <w:sz w:val="18"/>
        </w:rPr>
        <w:t xml:space="preserve">This refers to a situation where the low target achievement rate is not due to slow progress but rather to incorrect or unrealistic target setting. It may include lessons learned </w:t>
      </w:r>
      <w:r w:rsidR="005E568E" w:rsidRPr="00FD144E">
        <w:rPr>
          <w:sz w:val="18"/>
        </w:rPr>
        <w:t xml:space="preserve">in connection with the establishment of a </w:t>
      </w:r>
      <w:r w:rsidRPr="00095E27">
        <w:rPr>
          <w:sz w:val="18"/>
        </w:rPr>
        <w:t>the methodology for target setting – such as wrong or incomplete assumptions or issues with the benchmark values selected – and any planned changes to it</w:t>
      </w:r>
      <w:r w:rsidRPr="00FD144E">
        <w:rPr>
          <w:sz w:val="18"/>
        </w:rPr>
        <w:t>.</w:t>
      </w:r>
    </w:p>
  </w:footnote>
  <w:footnote w:id="4">
    <w:p w14:paraId="6388B583" w14:textId="77777777" w:rsidR="003651F7" w:rsidRPr="009F716C" w:rsidRDefault="003651F7">
      <w:pPr>
        <w:pStyle w:val="Notedebasdepage"/>
        <w:rPr>
          <w:sz w:val="18"/>
          <w:lang w:val="en-IE"/>
        </w:rPr>
      </w:pPr>
      <w:r w:rsidRPr="00FD144E">
        <w:rPr>
          <w:rStyle w:val="Appelnotedebasdep"/>
        </w:rPr>
        <w:footnoteRef/>
      </w:r>
      <w:r w:rsidRPr="00FD144E">
        <w:rPr>
          <w:sz w:val="18"/>
          <w:lang w:val="en-IE"/>
        </w:rPr>
        <w:tab/>
      </w:r>
      <w:r w:rsidRPr="00FD144E">
        <w:rPr>
          <w:sz w:val="18"/>
        </w:rPr>
        <w:t>For instance, issues related to tendering procedures, issues with audit procedures, issues linked to lack of resources at the managing authority level, an unforeseen delay in the adoption of the programme, etc.</w:t>
      </w:r>
    </w:p>
  </w:footnote>
  <w:footnote w:id="5">
    <w:p w14:paraId="0EA84D5E" w14:textId="77777777" w:rsidR="003651F7" w:rsidRPr="00FD144E" w:rsidRDefault="003651F7">
      <w:pPr>
        <w:pStyle w:val="Notedebasdepage"/>
        <w:rPr>
          <w:lang w:val="en-IE"/>
        </w:rPr>
      </w:pPr>
      <w:r w:rsidRPr="00FD144E">
        <w:rPr>
          <w:rStyle w:val="Appelnotedebasdep"/>
        </w:rPr>
        <w:footnoteRef/>
      </w:r>
      <w:r w:rsidRPr="00FD144E">
        <w:rPr>
          <w:sz w:val="18"/>
          <w:lang w:val="en-IE"/>
        </w:rPr>
        <w:tab/>
      </w:r>
      <w:r w:rsidRPr="00FD144E">
        <w:rPr>
          <w:sz w:val="18"/>
        </w:rPr>
        <w:t>This can include, for instance, socio-economic or political factors, changes in the regulatory context, etc.</w:t>
      </w:r>
    </w:p>
  </w:footnote>
  <w:footnote w:id="6">
    <w:p w14:paraId="69ACBC67" w14:textId="77777777" w:rsidR="003651F7" w:rsidRPr="00095E27" w:rsidRDefault="003651F7">
      <w:pPr>
        <w:pStyle w:val="Notedebasdepage"/>
        <w:rPr>
          <w:sz w:val="18"/>
          <w:lang w:val="en-IE"/>
        </w:rPr>
      </w:pPr>
      <w:r w:rsidRPr="00FD144E">
        <w:rPr>
          <w:rStyle w:val="Appelnotedebasdep"/>
        </w:rPr>
        <w:footnoteRef/>
      </w:r>
      <w:r w:rsidRPr="00FD144E">
        <w:rPr>
          <w:sz w:val="18"/>
          <w:lang w:val="en-IE"/>
        </w:rPr>
        <w:tab/>
        <w:t>For instance, issues to do with the scope of the action (e.g. eligibility criteria), low interest from beneficiaries or particip</w:t>
      </w:r>
      <w:r w:rsidRPr="00095E27">
        <w:rPr>
          <w:sz w:val="18"/>
          <w:lang w:val="en-IE"/>
        </w:rPr>
        <w:t>ants, any deviation in the implementation of the action etc.</w:t>
      </w:r>
      <w:r w:rsidRPr="00095E27" w:rsidDel="00686D37">
        <w:rPr>
          <w:sz w:val="18"/>
          <w:lang w:val="en-IE"/>
        </w:rPr>
        <w:t xml:space="preserve"> </w:t>
      </w:r>
    </w:p>
  </w:footnote>
  <w:footnote w:id="7">
    <w:p w14:paraId="341A0F84" w14:textId="7279CA36" w:rsidR="005A3D19" w:rsidRPr="00804A12" w:rsidRDefault="005A3D19">
      <w:pPr>
        <w:pStyle w:val="Notedebasdepage"/>
        <w:rPr>
          <w:lang w:val="en-IE"/>
        </w:rPr>
      </w:pPr>
      <w:r>
        <w:rPr>
          <w:rStyle w:val="Appelnotedebasdep"/>
        </w:rPr>
        <w:footnoteRef/>
      </w:r>
      <w:r>
        <w:rPr>
          <w:lang w:val="en-IE"/>
        </w:rPr>
        <w:tab/>
      </w:r>
      <w:r w:rsidRPr="00804A12">
        <w:rPr>
          <w:sz w:val="18"/>
          <w:szCs w:val="18"/>
          <w:lang w:val="en-IE"/>
        </w:rPr>
        <w:t>If relevant for this purpose, refer to the information</w:t>
      </w:r>
      <w:r w:rsidR="00B21A52" w:rsidRPr="00B21A52">
        <w:rPr>
          <w:sz w:val="18"/>
          <w:szCs w:val="18"/>
          <w:lang w:val="en-IE"/>
        </w:rPr>
        <w:t xml:space="preserve"> </w:t>
      </w:r>
      <w:r w:rsidR="00B21A52">
        <w:rPr>
          <w:sz w:val="18"/>
          <w:szCs w:val="18"/>
          <w:lang w:val="en-IE"/>
        </w:rPr>
        <w:t xml:space="preserve">which is in scope of Regulation </w:t>
      </w:r>
      <w:r w:rsidR="005F3499">
        <w:rPr>
          <w:sz w:val="18"/>
          <w:szCs w:val="18"/>
          <w:lang w:val="en-IE"/>
        </w:rPr>
        <w:t xml:space="preserve">(EU) </w:t>
      </w:r>
      <w:r w:rsidR="00B21A52">
        <w:rPr>
          <w:sz w:val="18"/>
          <w:szCs w:val="18"/>
          <w:lang w:val="en-IE"/>
        </w:rPr>
        <w:t>2021/1148 and</w:t>
      </w:r>
      <w:r w:rsidRPr="00804A12">
        <w:rPr>
          <w:sz w:val="18"/>
          <w:szCs w:val="18"/>
          <w:lang w:val="en-IE"/>
        </w:rPr>
        <w:t xml:space="preserve"> available as a result of Schengen evaluations</w:t>
      </w:r>
      <w:r w:rsidR="00B21A52">
        <w:rPr>
          <w:sz w:val="18"/>
          <w:szCs w:val="18"/>
          <w:lang w:val="en-IE"/>
        </w:rPr>
        <w:t xml:space="preserve">, </w:t>
      </w:r>
      <w:r w:rsidRPr="00804A12">
        <w:rPr>
          <w:sz w:val="18"/>
          <w:szCs w:val="18"/>
          <w:lang w:val="en-IE"/>
        </w:rPr>
        <w:t xml:space="preserve">carried out in accordance with </w:t>
      </w:r>
      <w:r w:rsidRPr="005A3D19">
        <w:rPr>
          <w:sz w:val="18"/>
          <w:szCs w:val="18"/>
        </w:rPr>
        <w:t>Council Regulation (EU) No 1053/2013 of 7 October 2013 establishing an evaluation and monitoring mechanism to verify the application of the Schengen acquis and repealing the Decision of the Executive Committee of 16 September 1998 set</w:t>
      </w:r>
      <w:r w:rsidRPr="00E45982">
        <w:rPr>
          <w:sz w:val="18"/>
          <w:szCs w:val="18"/>
        </w:rPr>
        <w:t>ting up a Standing Committee on the evaluation and implementation of Schengen (OJ L 295, 6.11.2013, p. 27) and Council Regulation (EU) 2022/922 of 9 June 2022 on the establishment and operation of an evaluation and monitoring mechanism to verify the application of the Schengen acquis, and repealing Regulation (EU) No 1053/2013 (OJ L 160, 15.6.2022, p. 1)</w:t>
      </w:r>
      <w:r w:rsidRPr="00804A12">
        <w:rPr>
          <w:sz w:val="18"/>
          <w:szCs w:val="18"/>
        </w:rPr>
        <w:t>. Likewise, if relevant</w:t>
      </w:r>
      <w:r w:rsidR="001320D1">
        <w:rPr>
          <w:sz w:val="18"/>
          <w:szCs w:val="18"/>
        </w:rPr>
        <w:t>,</w:t>
      </w:r>
      <w:r w:rsidRPr="001320D1">
        <w:rPr>
          <w:sz w:val="18"/>
          <w:szCs w:val="18"/>
        </w:rPr>
        <w:t xml:space="preserve"> refer to vulnerability assessments carried out in accordance with Regulation (EU) 2019/1896</w:t>
      </w:r>
      <w:r w:rsidRPr="00E45982">
        <w:rPr>
          <w:sz w:val="18"/>
          <w:szCs w:val="18"/>
        </w:rPr>
        <w:t xml:space="preserve"> of the European Parliament and of the Council of 13 November 2019 on the European Border and Coast Guard including recommendations following Schengen evaluations and vulnerability assessments (OJ L 295, </w:t>
      </w:r>
      <w:r w:rsidRPr="00E45982">
        <w:rPr>
          <w:sz w:val="18"/>
          <w:szCs w:val="18"/>
          <w:shd w:val="clear" w:color="auto" w:fill="FFFFFF"/>
        </w:rPr>
        <w:t>14.11.2019, p.1)</w:t>
      </w:r>
      <w:r w:rsidRPr="009D2860">
        <w:rPr>
          <w:sz w:val="18"/>
          <w:szCs w:val="18"/>
          <w:shd w:val="clear" w:color="auto" w:fill="FFFFFF"/>
        </w:rPr>
        <w:t xml:space="preserve"> and related recommendations.</w:t>
      </w:r>
      <w:r>
        <w:rPr>
          <w:sz w:val="18"/>
          <w:szCs w:val="18"/>
          <w:shd w:val="clear" w:color="auto" w:fill="FFFFFF"/>
        </w:rPr>
        <w:t xml:space="preserve"> </w:t>
      </w:r>
      <w:r>
        <w:rPr>
          <w:sz w:val="18"/>
        </w:rPr>
        <w:t xml:space="preserve"> </w:t>
      </w:r>
    </w:p>
  </w:footnote>
  <w:footnote w:id="8">
    <w:p w14:paraId="6687BFC5" w14:textId="77777777" w:rsidR="003651F7" w:rsidRPr="00FD144E" w:rsidRDefault="003651F7" w:rsidP="0053671E">
      <w:pPr>
        <w:pStyle w:val="Notedebasdepage"/>
      </w:pPr>
      <w:r w:rsidRPr="00FD144E">
        <w:rPr>
          <w:rStyle w:val="Appelnotedebasdep"/>
        </w:rPr>
        <w:footnoteRef/>
      </w:r>
      <w:r w:rsidRPr="00FD144E">
        <w:rPr>
          <w:sz w:val="18"/>
          <w:lang w:val="en-IE"/>
        </w:rPr>
        <w:tab/>
      </w:r>
      <w:r w:rsidR="0053671E" w:rsidRPr="00FD144E">
        <w:rPr>
          <w:sz w:val="18"/>
        </w:rPr>
        <w:t xml:space="preserve">In the case of specific actions with a transnational nature, the scope of this section varies </w:t>
      </w:r>
      <w:r w:rsidR="0053671E" w:rsidRPr="00095E27">
        <w:rPr>
          <w:sz w:val="18"/>
        </w:rPr>
        <w:t>according to the distribution of roles and responsibilities between the lead Member States and the other participating Member States, as well as the choice of the reporting method used</w:t>
      </w:r>
      <w:r w:rsidR="0053671E" w:rsidRPr="00FD144E">
        <w:rPr>
          <w:sz w:val="18"/>
        </w:rPr>
        <w:t>. This is described in the Commission’s note of 14 February 2022 - Transnational specific  actions  under  the  Asylum,  Migration  and Integration  Fund  (AMIF),  the  Instrument  for  Financial  Support  for Border  Management  and  Visa  Policy  (BMVI),and  the  Internal Security Fund (ISF) – Arrangements between partners (Ares (2022)1060102).</w:t>
      </w:r>
    </w:p>
  </w:footnote>
  <w:footnote w:id="9">
    <w:p w14:paraId="00D4D1C5" w14:textId="76CD1877" w:rsidR="0053671E" w:rsidRPr="00095E27" w:rsidRDefault="0053671E">
      <w:pPr>
        <w:pStyle w:val="Notedebasdepage"/>
        <w:rPr>
          <w:lang w:val="en-IE"/>
        </w:rPr>
      </w:pPr>
      <w:r w:rsidRPr="00FD144E">
        <w:rPr>
          <w:rStyle w:val="Appelnotedebasdep"/>
        </w:rPr>
        <w:footnoteRef/>
      </w:r>
      <w:r w:rsidRPr="00FD144E">
        <w:rPr>
          <w:lang w:val="en-IE"/>
        </w:rPr>
        <w:tab/>
      </w:r>
      <w:r w:rsidR="00B52073">
        <w:rPr>
          <w:sz w:val="18"/>
          <w:lang w:val="en-IE"/>
        </w:rPr>
        <w:t>Union</w:t>
      </w:r>
      <w:r w:rsidR="00B52073" w:rsidRPr="00FD144E">
        <w:rPr>
          <w:sz w:val="18"/>
          <w:lang w:val="en-IE"/>
        </w:rPr>
        <w:t xml:space="preserve"> </w:t>
      </w:r>
      <w:r w:rsidRPr="00FD144E">
        <w:rPr>
          <w:sz w:val="18"/>
          <w:lang w:val="en-IE"/>
        </w:rPr>
        <w:t xml:space="preserve">added value is defined as the </w:t>
      </w:r>
      <w:r w:rsidRPr="00095E27">
        <w:rPr>
          <w:sz w:val="18"/>
        </w:rPr>
        <w:t>generation of results beyond what would have been achieved by Member States acting alone.</w:t>
      </w:r>
    </w:p>
  </w:footnote>
  <w:footnote w:id="10">
    <w:p w14:paraId="7F8026F0" w14:textId="77777777" w:rsidR="0053671E" w:rsidRPr="00095E27" w:rsidRDefault="0053671E">
      <w:pPr>
        <w:pStyle w:val="Notedebasdepage"/>
        <w:rPr>
          <w:lang w:val="en-IE"/>
        </w:rPr>
      </w:pPr>
      <w:r w:rsidRPr="00FD144E">
        <w:rPr>
          <w:rStyle w:val="Appelnotedebasdep"/>
        </w:rPr>
        <w:footnoteRef/>
      </w:r>
      <w:r w:rsidRPr="00FD144E">
        <w:rPr>
          <w:lang w:val="en-IE"/>
        </w:rPr>
        <w:tab/>
      </w:r>
      <w:r w:rsidRPr="00FD144E">
        <w:rPr>
          <w:sz w:val="18"/>
          <w:lang w:val="en-IE"/>
        </w:rPr>
        <w:t xml:space="preserve">For instance, in connection to </w:t>
      </w:r>
      <w:r w:rsidRPr="00095E27">
        <w:rPr>
          <w:sz w:val="18"/>
          <w:lang w:val="en-IE"/>
        </w:rPr>
        <w:t>procurement activities or any other preparatory steps taken.</w:t>
      </w:r>
    </w:p>
  </w:footnote>
  <w:footnote w:id="11">
    <w:p w14:paraId="7262C41D" w14:textId="77777777" w:rsidR="0053671E" w:rsidRPr="00095E27" w:rsidRDefault="0053671E">
      <w:pPr>
        <w:pStyle w:val="Notedebasdepage"/>
        <w:rPr>
          <w:lang w:val="en-IE"/>
        </w:rPr>
      </w:pPr>
      <w:r w:rsidRPr="00FD144E">
        <w:rPr>
          <w:rStyle w:val="Appelnotedebasdep"/>
        </w:rPr>
        <w:footnoteRef/>
      </w:r>
      <w:r w:rsidRPr="00FD144E">
        <w:rPr>
          <w:lang w:val="en-IE"/>
        </w:rPr>
        <w:tab/>
      </w:r>
      <w:r w:rsidRPr="00FD144E">
        <w:rPr>
          <w:sz w:val="18"/>
          <w:lang w:val="en-IE"/>
        </w:rPr>
        <w:t>For instance, in terms of deliverables, outputs, results</w:t>
      </w:r>
      <w:r w:rsidRPr="00095E27">
        <w:rPr>
          <w:sz w:val="18"/>
          <w:lang w:val="en-IE"/>
        </w:rPr>
        <w:t xml:space="preserve"> etc.</w:t>
      </w:r>
    </w:p>
  </w:footnote>
  <w:footnote w:id="12">
    <w:p w14:paraId="520A8CBD" w14:textId="77777777" w:rsidR="003651F7" w:rsidRPr="00FD144E" w:rsidRDefault="003651F7">
      <w:pPr>
        <w:pStyle w:val="Notedebasdepage"/>
        <w:rPr>
          <w:lang w:val="en-IE"/>
        </w:rPr>
      </w:pPr>
      <w:r w:rsidRPr="00FD144E">
        <w:rPr>
          <w:rStyle w:val="Appelnotedebasdep"/>
        </w:rPr>
        <w:footnoteRef/>
      </w:r>
      <w:r w:rsidRPr="00FD144E">
        <w:rPr>
          <w:sz w:val="18"/>
          <w:lang w:val="en-IE"/>
        </w:rPr>
        <w:tab/>
      </w:r>
      <w:r w:rsidRPr="00FD144E">
        <w:rPr>
          <w:sz w:val="18"/>
        </w:rPr>
        <w:t xml:space="preserve">As </w:t>
      </w:r>
      <w:r w:rsidRPr="00095E27">
        <w:rPr>
          <w:sz w:val="18"/>
        </w:rPr>
        <w:t>set out in the Commission’s note of 14 February 2022</w:t>
      </w:r>
      <w:r w:rsidRPr="00FD144E">
        <w:rPr>
          <w:sz w:val="18"/>
        </w:rPr>
        <w:t xml:space="preserve"> (</w:t>
      </w:r>
      <w:r w:rsidRPr="00151819">
        <w:rPr>
          <w:sz w:val="18"/>
        </w:rPr>
        <w:t>Ares</w:t>
      </w:r>
      <w:r w:rsidRPr="00FD144E">
        <w:rPr>
          <w:sz w:val="18"/>
        </w:rPr>
        <w:t xml:space="preserve"> </w:t>
      </w:r>
      <w:r w:rsidRPr="00151819">
        <w:rPr>
          <w:sz w:val="18"/>
        </w:rPr>
        <w:t>(2022)1060102</w:t>
      </w:r>
      <w:r w:rsidRPr="00FD144E">
        <w:rPr>
          <w:sz w:val="18"/>
        </w:rPr>
        <w:t>).</w:t>
      </w:r>
    </w:p>
  </w:footnote>
  <w:footnote w:id="13">
    <w:p w14:paraId="79C60067" w14:textId="0E7D79CA" w:rsidR="003651F7" w:rsidRPr="00FD144E" w:rsidRDefault="003651F7">
      <w:pPr>
        <w:pStyle w:val="Notedebasdepage"/>
        <w:rPr>
          <w:lang w:val="en-IE"/>
        </w:rPr>
      </w:pPr>
      <w:r w:rsidRPr="00FD144E">
        <w:rPr>
          <w:rStyle w:val="Appelnotedebasdep"/>
        </w:rPr>
        <w:footnoteRef/>
      </w:r>
      <w:r w:rsidRPr="00FD144E">
        <w:rPr>
          <w:lang w:val="en-IE"/>
        </w:rPr>
        <w:tab/>
      </w:r>
      <w:r w:rsidRPr="00151819">
        <w:rPr>
          <w:sz w:val="18"/>
        </w:rPr>
        <w:t>Total eligible cost of selected operations</w:t>
      </w:r>
      <w:r w:rsidR="00E45982">
        <w:rPr>
          <w:sz w:val="18"/>
        </w:rPr>
        <w:t>, as reported to the Commission</w:t>
      </w:r>
      <w:r w:rsidRPr="00151819">
        <w:rPr>
          <w:sz w:val="18"/>
        </w:rPr>
        <w:t xml:space="preserve"> by 31 July of the last accounting year.</w:t>
      </w:r>
    </w:p>
  </w:footnote>
  <w:footnote w:id="14">
    <w:p w14:paraId="3C0A7624" w14:textId="65A45D3D" w:rsidR="003651F7" w:rsidRPr="00FD144E" w:rsidRDefault="003651F7">
      <w:pPr>
        <w:pStyle w:val="Notedebasdepage"/>
        <w:rPr>
          <w:lang w:val="en-IE"/>
        </w:rPr>
      </w:pPr>
      <w:r w:rsidRPr="00FD144E">
        <w:rPr>
          <w:rStyle w:val="Appelnotedebasdep"/>
        </w:rPr>
        <w:footnoteRef/>
      </w:r>
      <w:r w:rsidRPr="00FD144E">
        <w:rPr>
          <w:lang w:val="en-IE"/>
        </w:rPr>
        <w:tab/>
      </w:r>
      <w:r w:rsidRPr="00151819">
        <w:rPr>
          <w:sz w:val="18"/>
        </w:rPr>
        <w:t xml:space="preserve">Total amount of eligible expenditure </w:t>
      </w:r>
      <w:r w:rsidR="00E45982">
        <w:rPr>
          <w:sz w:val="18"/>
        </w:rPr>
        <w:t>declared</w:t>
      </w:r>
      <w:r w:rsidR="00E45982" w:rsidRPr="00151819">
        <w:rPr>
          <w:sz w:val="18"/>
        </w:rPr>
        <w:t xml:space="preserve"> </w:t>
      </w:r>
      <w:r w:rsidRPr="00151819">
        <w:rPr>
          <w:sz w:val="18"/>
        </w:rPr>
        <w:t xml:space="preserve">by beneficiaries </w:t>
      </w:r>
      <w:r w:rsidR="00E45982">
        <w:rPr>
          <w:sz w:val="18"/>
        </w:rPr>
        <w:t>to the managing authority</w:t>
      </w:r>
      <w:r w:rsidRPr="00151819">
        <w:rPr>
          <w:sz w:val="18"/>
        </w:rPr>
        <w:t>,</w:t>
      </w:r>
      <w:r w:rsidR="00E45982">
        <w:rPr>
          <w:sz w:val="18"/>
        </w:rPr>
        <w:t xml:space="preserve"> as reported to the Commission</w:t>
      </w:r>
      <w:r w:rsidRPr="00151819">
        <w:rPr>
          <w:sz w:val="18"/>
        </w:rPr>
        <w:t xml:space="preserve"> by 31 July of the last accounting year.</w:t>
      </w:r>
    </w:p>
  </w:footnote>
  <w:footnote w:id="15">
    <w:p w14:paraId="78630D54" w14:textId="77777777" w:rsidR="003651F7" w:rsidRPr="00FD144E" w:rsidRDefault="003651F7">
      <w:pPr>
        <w:pStyle w:val="Notedebasdepage"/>
        <w:rPr>
          <w:lang w:val="en-IE"/>
        </w:rPr>
      </w:pPr>
      <w:r w:rsidRPr="00FD144E">
        <w:rPr>
          <w:rStyle w:val="Appelnotedebasdep"/>
        </w:rPr>
        <w:footnoteRef/>
      </w:r>
      <w:r w:rsidRPr="00FD144E">
        <w:rPr>
          <w:lang w:val="en-IE"/>
        </w:rPr>
        <w:tab/>
      </w:r>
      <w:r w:rsidRPr="00151819">
        <w:rPr>
          <w:sz w:val="18"/>
        </w:rPr>
        <w:t>If specific actions represent a top-up of previous operations and there are no dedicated monitoring arrangements, report the output and results pro-</w:t>
      </w:r>
      <w:r w:rsidR="0053671E" w:rsidRPr="00151819">
        <w:rPr>
          <w:sz w:val="18"/>
        </w:rPr>
        <w:t>rata</w:t>
      </w:r>
      <w:r w:rsidRPr="00151819">
        <w:rPr>
          <w:sz w:val="18"/>
        </w:rPr>
        <w:t>.</w:t>
      </w:r>
    </w:p>
  </w:footnote>
  <w:footnote w:id="16">
    <w:p w14:paraId="0B034FF2" w14:textId="77777777" w:rsidR="003651F7" w:rsidRPr="00F30684" w:rsidRDefault="003651F7">
      <w:pPr>
        <w:pStyle w:val="Notedebasdepage"/>
      </w:pPr>
      <w:r w:rsidRPr="00794F0B">
        <w:rPr>
          <w:rStyle w:val="Appelnotedebasdep"/>
        </w:rPr>
        <w:footnoteRef/>
      </w:r>
      <w:r w:rsidR="00794F0B">
        <w:tab/>
      </w:r>
      <w:r w:rsidRPr="00151819">
        <w:rPr>
          <w:bCs/>
          <w:sz w:val="18"/>
          <w:szCs w:val="18"/>
          <w:shd w:val="clear" w:color="auto" w:fill="FFFFFF"/>
        </w:rPr>
        <w:t xml:space="preserve">Regulation (EU) 2018/1240 of the European Parliament and of the Council of 12 September 2018 establishing a European Travel Information and Authorisation System (ETIAS) and amending Regulations (EU) No 1077/2011, (EU) No 515/2014, (EU) 2016/399, (EU) 2016/1624 and (EU) 2017/2226 (OJ L 236, </w:t>
      </w:r>
      <w:r w:rsidRPr="00151819">
        <w:rPr>
          <w:sz w:val="18"/>
          <w:szCs w:val="18"/>
          <w:shd w:val="clear" w:color="auto" w:fill="FFFFFF"/>
        </w:rPr>
        <w:t>19.9.2018, p.1).</w:t>
      </w:r>
    </w:p>
  </w:footnote>
  <w:footnote w:id="17">
    <w:p w14:paraId="191EB748" w14:textId="77777777" w:rsidR="003651F7" w:rsidRPr="00FD144E" w:rsidRDefault="003651F7">
      <w:pPr>
        <w:pStyle w:val="Notedebasdepage"/>
      </w:pPr>
      <w:r w:rsidRPr="00794F0B">
        <w:rPr>
          <w:rStyle w:val="Appelnotedebasdep"/>
        </w:rPr>
        <w:footnoteRef/>
      </w:r>
      <w:r w:rsidR="00794F0B">
        <w:tab/>
      </w:r>
      <w:r w:rsidRPr="00151819">
        <w:rPr>
          <w:bCs/>
          <w:sz w:val="18"/>
          <w:szCs w:val="18"/>
          <w:shd w:val="clear" w:color="auto" w:fill="FFFFFF"/>
        </w:rPr>
        <w:t xml:space="preserve">Regulation (EU) No 515/2014 of the European Parliament and of the Council of 16 April 2014 establishing, as part of the Internal Security Fund, the instrument for financial support for external borders and visa and repealing Decision No 574/2007/EC (OJ L 150, </w:t>
      </w:r>
      <w:r w:rsidRPr="00151819">
        <w:rPr>
          <w:sz w:val="18"/>
          <w:szCs w:val="18"/>
          <w:shd w:val="clear" w:color="auto" w:fill="FFFFFF"/>
        </w:rPr>
        <w:t>20.5.2014, p.143).</w:t>
      </w:r>
    </w:p>
  </w:footnote>
  <w:footnote w:id="18">
    <w:p w14:paraId="4A69F9C1" w14:textId="77777777" w:rsidR="00FD144E" w:rsidRPr="00151819" w:rsidRDefault="00FD144E">
      <w:pPr>
        <w:pStyle w:val="Notedebasdepage"/>
        <w:rPr>
          <w:lang w:val="en-IE"/>
        </w:rPr>
      </w:pPr>
      <w:r w:rsidRPr="00FD144E">
        <w:rPr>
          <w:rStyle w:val="Appelnotedebasdep"/>
        </w:rPr>
        <w:footnoteRef/>
      </w:r>
      <w:r w:rsidRPr="00FD144E">
        <w:rPr>
          <w:lang w:val="en-IE"/>
        </w:rPr>
        <w:tab/>
      </w:r>
      <w:r w:rsidRPr="00151819">
        <w:rPr>
          <w:bCs/>
          <w:sz w:val="18"/>
          <w:szCs w:val="18"/>
          <w:shd w:val="clear" w:color="auto" w:fill="FFFFFF"/>
        </w:rPr>
        <w:t xml:space="preserve">Regulation (EU) No 514/2014 of the European Parliament and of the Council of 16 April 2014 laying down general provisions on the Asylum, Migration and Integration Fund and on the instrument for financial support for police cooperation, preventing and combating crime, and crisis management (OJ L 150, </w:t>
      </w:r>
      <w:r w:rsidRPr="00FD144E">
        <w:rPr>
          <w:sz w:val="18"/>
          <w:szCs w:val="18"/>
        </w:rPr>
        <w:t>20.5.2014, p.112).</w:t>
      </w:r>
    </w:p>
  </w:footnote>
  <w:footnote w:id="19">
    <w:p w14:paraId="5E9F4E95" w14:textId="77777777" w:rsidR="004F0A2D" w:rsidRPr="00151819" w:rsidRDefault="004F0A2D">
      <w:pPr>
        <w:pStyle w:val="Notedebasdepage"/>
        <w:rPr>
          <w:lang w:val="en-IE"/>
        </w:rPr>
      </w:pPr>
      <w:r w:rsidRPr="00FD144E">
        <w:rPr>
          <w:rStyle w:val="Appelnotedebasdep"/>
        </w:rPr>
        <w:footnoteRef/>
      </w:r>
      <w:r w:rsidRPr="00FD144E">
        <w:rPr>
          <w:lang w:val="en-IE"/>
        </w:rPr>
        <w:tab/>
      </w:r>
      <w:r w:rsidRPr="00FD144E">
        <w:rPr>
          <w:sz w:val="18"/>
          <w:lang w:val="en-IE"/>
        </w:rPr>
        <w:t xml:space="preserve">In particular, e.g. the </w:t>
      </w:r>
      <w:r w:rsidRPr="00095E27">
        <w:rPr>
          <w:sz w:val="18"/>
          <w:lang w:val="en-IE"/>
        </w:rPr>
        <w:t xml:space="preserve">Neighbourhood, Development and International Cooperation Instrument (NDICI) </w:t>
      </w:r>
      <w:r w:rsidRPr="00FD144E">
        <w:rPr>
          <w:sz w:val="18"/>
          <w:lang w:val="en-IE"/>
        </w:rPr>
        <w:t>– Global Europe and the Instrument for Pre-accession assistance (IPA).</w:t>
      </w:r>
    </w:p>
  </w:footnote>
  <w:footnote w:id="20">
    <w:p w14:paraId="2096926E" w14:textId="6753DD3F" w:rsidR="004F0A2D" w:rsidRPr="00151819" w:rsidRDefault="004F0A2D">
      <w:pPr>
        <w:pStyle w:val="Notedebasdepage"/>
        <w:rPr>
          <w:lang w:val="en-IE"/>
        </w:rPr>
      </w:pPr>
      <w:r w:rsidRPr="00FD144E">
        <w:rPr>
          <w:rStyle w:val="Appelnotedebasdep"/>
        </w:rPr>
        <w:footnoteRef/>
      </w:r>
      <w:r w:rsidRPr="00FD144E">
        <w:rPr>
          <w:lang w:val="en-IE"/>
        </w:rPr>
        <w:tab/>
      </w:r>
      <w:r w:rsidRPr="00FD144E">
        <w:rPr>
          <w:sz w:val="18"/>
          <w:lang w:val="en-IE"/>
        </w:rPr>
        <w:t xml:space="preserve">Such as cooperation at </w:t>
      </w:r>
      <w:r w:rsidR="00D139E5">
        <w:rPr>
          <w:sz w:val="18"/>
          <w:lang w:val="en-IE"/>
        </w:rPr>
        <w:t>Union</w:t>
      </w:r>
      <w:r w:rsidR="00D139E5" w:rsidRPr="00095E27">
        <w:rPr>
          <w:sz w:val="18"/>
          <w:lang w:val="en-IE"/>
        </w:rPr>
        <w:t xml:space="preserve"> </w:t>
      </w:r>
      <w:r w:rsidRPr="00095E27">
        <w:rPr>
          <w:sz w:val="18"/>
          <w:lang w:val="en-IE"/>
        </w:rPr>
        <w:t xml:space="preserve">level between the Member States, and between Member States and relevant </w:t>
      </w:r>
      <w:r w:rsidR="00D139E5">
        <w:rPr>
          <w:sz w:val="18"/>
          <w:lang w:val="en-IE"/>
        </w:rPr>
        <w:t>Union</w:t>
      </w:r>
      <w:r w:rsidR="00D139E5" w:rsidRPr="00FD144E">
        <w:rPr>
          <w:sz w:val="18"/>
          <w:lang w:val="en-IE"/>
        </w:rPr>
        <w:t xml:space="preserve"> </w:t>
      </w:r>
      <w:r w:rsidRPr="00FD144E">
        <w:rPr>
          <w:sz w:val="18"/>
          <w:lang w:val="en-IE"/>
        </w:rPr>
        <w:t>bodies, offices and agencies, as well as cooperation at national level among the competent authorities within each Member State.</w:t>
      </w:r>
    </w:p>
  </w:footnote>
  <w:footnote w:id="21">
    <w:p w14:paraId="6CAFE445" w14:textId="7710B6C9" w:rsidR="00BE551E" w:rsidRPr="00DF7BF3" w:rsidRDefault="00BE551E" w:rsidP="00BE551E">
      <w:pPr>
        <w:pStyle w:val="Notedebasdepage"/>
        <w:rPr>
          <w:sz w:val="18"/>
        </w:rPr>
      </w:pPr>
      <w:r>
        <w:rPr>
          <w:rStyle w:val="Appelnotedebasdep"/>
        </w:rPr>
        <w:footnoteRef/>
      </w:r>
      <w:r>
        <w:rPr>
          <w:lang w:val="en-IE"/>
        </w:rPr>
        <w:tab/>
      </w:r>
      <w:r w:rsidRPr="00DF7BF3">
        <w:rPr>
          <w:sz w:val="18"/>
        </w:rPr>
        <w:t>Regulation (EU) 2019/817 of the European Parliament and of the Council of 20 May 2019 on establishing a framework for interoperability between EU information systems in the field of borders and visa and amending Regulations (EC) No 767/2008, (EU) 2016/399, (EU) 2017/2226, (EU) 2018/1240, (EU) 2018/1726 and (EU) 2018/1861 of the European Parliament and of the Council and Council Decisions 2004/512/EC and 2008/633/JHA (</w:t>
      </w:r>
      <w:hyperlink r:id="rId1" w:history="1">
        <w:r w:rsidRPr="00DF7BF3">
          <w:rPr>
            <w:sz w:val="18"/>
          </w:rPr>
          <w:t>OJ L 135, 22.5.2019, p. 27</w:t>
        </w:r>
      </w:hyperlink>
      <w:r w:rsidRPr="00DF7BF3">
        <w:rPr>
          <w:sz w:val="18"/>
        </w:rPr>
        <w:t>).</w:t>
      </w:r>
    </w:p>
    <w:p w14:paraId="6C68CCBC" w14:textId="5F4491F1" w:rsidR="00BE551E" w:rsidRPr="00DF7BF3" w:rsidRDefault="00BE551E" w:rsidP="00DF7BF3">
      <w:pPr>
        <w:pStyle w:val="Notedebasdepage"/>
        <w:ind w:firstLine="0"/>
        <w:rPr>
          <w:sz w:val="18"/>
        </w:rPr>
      </w:pPr>
      <w:r w:rsidRPr="00DF7BF3">
        <w:rPr>
          <w:sz w:val="18"/>
        </w:rPr>
        <w:t>Regulation (EU) 2019/818 of the European Parliament and of the Council of 20 May 2019 on establishing a framework for interoperability between EU information systems in the field of police and judicial cooperation, asylum and migration and amending Regulations (EU) 2018/1726, (EU) 2018/1862 and (EU) 2019/816 (</w:t>
      </w:r>
      <w:hyperlink r:id="rId2" w:history="1">
        <w:r w:rsidRPr="00DF7BF3">
          <w:rPr>
            <w:sz w:val="18"/>
          </w:rPr>
          <w:t>OJ L 135, 22.5.2019, p. 85</w:t>
        </w:r>
      </w:hyperlink>
      <w:r w:rsidRPr="00DF7BF3">
        <w:rPr>
          <w:sz w:val="18"/>
        </w:rPr>
        <w:t xml:space="preserve">). </w:t>
      </w:r>
    </w:p>
  </w:footnote>
  <w:footnote w:id="22">
    <w:p w14:paraId="7C8E177D" w14:textId="7B06EF5C" w:rsidR="003651F7" w:rsidRPr="009F716C" w:rsidRDefault="003651F7" w:rsidP="008671BE">
      <w:pPr>
        <w:pStyle w:val="Notedebasdepage"/>
        <w:rPr>
          <w:lang w:val="en-IE"/>
        </w:rPr>
      </w:pPr>
      <w:r>
        <w:rPr>
          <w:rStyle w:val="Appelnotedebasdep"/>
        </w:rPr>
        <w:footnoteRef/>
      </w:r>
      <w:r>
        <w:rPr>
          <w:lang w:val="en-IE"/>
        </w:rPr>
        <w:tab/>
      </w:r>
      <w:r w:rsidRPr="00DF7BF3">
        <w:rPr>
          <w:sz w:val="18"/>
        </w:rPr>
        <w:t>Total eligible cost of selected operations</w:t>
      </w:r>
      <w:r w:rsidR="00DF7BF3">
        <w:rPr>
          <w:sz w:val="18"/>
        </w:rPr>
        <w:t>, as reported to the Commission</w:t>
      </w:r>
      <w:r w:rsidRPr="00DF7BF3">
        <w:rPr>
          <w:sz w:val="18"/>
        </w:rPr>
        <w:t xml:space="preserve"> by 31 July of the last accounting year.</w:t>
      </w:r>
    </w:p>
  </w:footnote>
  <w:footnote w:id="23">
    <w:p w14:paraId="72280693" w14:textId="6D99DCA7" w:rsidR="003651F7" w:rsidRPr="009F716C" w:rsidRDefault="003651F7" w:rsidP="008671BE">
      <w:pPr>
        <w:pStyle w:val="Notedebasdepage"/>
        <w:rPr>
          <w:lang w:val="en-IE"/>
        </w:rPr>
      </w:pPr>
      <w:r>
        <w:rPr>
          <w:rStyle w:val="Appelnotedebasdep"/>
        </w:rPr>
        <w:footnoteRef/>
      </w:r>
      <w:r>
        <w:rPr>
          <w:lang w:val="en-IE"/>
        </w:rPr>
        <w:tab/>
      </w:r>
      <w:r w:rsidRPr="00DF7BF3">
        <w:rPr>
          <w:sz w:val="18"/>
        </w:rPr>
        <w:t xml:space="preserve">Total amount of eligible expenditure </w:t>
      </w:r>
      <w:r w:rsidR="00DF7BF3">
        <w:rPr>
          <w:sz w:val="18"/>
        </w:rPr>
        <w:t>declared by the beneficiaries to the managing authority</w:t>
      </w:r>
      <w:r w:rsidR="00DF7BF3" w:rsidRPr="006A41E2">
        <w:rPr>
          <w:sz w:val="18"/>
        </w:rPr>
        <w:t xml:space="preserve">, </w:t>
      </w:r>
      <w:r w:rsidR="00DF7BF3">
        <w:rPr>
          <w:sz w:val="18"/>
        </w:rPr>
        <w:t xml:space="preserve">as reported to the Commission </w:t>
      </w:r>
      <w:r w:rsidRPr="00DF7BF3">
        <w:rPr>
          <w:sz w:val="18"/>
        </w:rPr>
        <w:t>by 31 July of the last accounting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EAAF" w14:textId="77777777" w:rsidR="007720C2" w:rsidRPr="007720C2" w:rsidRDefault="007720C2" w:rsidP="007720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F08B" w14:textId="77777777" w:rsidR="007720C2" w:rsidRPr="007720C2" w:rsidRDefault="007720C2" w:rsidP="007720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89F5" w14:textId="77777777" w:rsidR="007720C2" w:rsidRPr="007720C2" w:rsidRDefault="007720C2" w:rsidP="007720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16A454D3"/>
    <w:multiLevelType w:val="hybridMultilevel"/>
    <w:tmpl w:val="DD4C50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A6C9F"/>
    <w:multiLevelType w:val="hybridMultilevel"/>
    <w:tmpl w:val="08063CA2"/>
    <w:lvl w:ilvl="0" w:tplc="72D01D84">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D83D12"/>
    <w:multiLevelType w:val="hybridMultilevel"/>
    <w:tmpl w:val="1D5A85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E6B3252"/>
    <w:multiLevelType w:val="hybridMultilevel"/>
    <w:tmpl w:val="4BF44A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0CA6B75"/>
    <w:multiLevelType w:val="hybridMultilevel"/>
    <w:tmpl w:val="34527514"/>
    <w:lvl w:ilvl="0" w:tplc="F6325F6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C55BEF"/>
    <w:multiLevelType w:val="hybridMultilevel"/>
    <w:tmpl w:val="77708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decimal"/>
      <w:pStyle w:val="Titre5"/>
      <w:lvlText w:val="%1.%2.%3.%4.%5."/>
      <w:lvlJc w:val="left"/>
      <w:pPr>
        <w:tabs>
          <w:tab w:val="num" w:pos="1417"/>
        </w:tabs>
        <w:ind w:left="1417" w:hanging="1417"/>
      </w:pPr>
    </w:lvl>
    <w:lvl w:ilvl="5">
      <w:start w:val="1"/>
      <w:numFmt w:val="decimal"/>
      <w:pStyle w:val="Titre6"/>
      <w:lvlText w:val="%1.%2.%3.%4.%5.%6."/>
      <w:lvlJc w:val="left"/>
      <w:pPr>
        <w:tabs>
          <w:tab w:val="num" w:pos="1417"/>
        </w:tabs>
        <w:ind w:left="1417" w:hanging="1417"/>
      </w:pPr>
    </w:lvl>
    <w:lvl w:ilvl="6">
      <w:start w:val="1"/>
      <w:numFmt w:val="decimal"/>
      <w:pStyle w:val="Titre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2046543"/>
    <w:multiLevelType w:val="hybridMultilevel"/>
    <w:tmpl w:val="884074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num>
  <w:num w:numId="11">
    <w:abstractNumId w:val="23"/>
    <w:lvlOverride w:ilvl="0">
      <w:startOverride w:val="1"/>
    </w:lvlOverride>
  </w:num>
  <w:num w:numId="12">
    <w:abstractNumId w:val="23"/>
  </w:num>
  <w:num w:numId="13">
    <w:abstractNumId w:val="14"/>
  </w:num>
  <w:num w:numId="14">
    <w:abstractNumId w:val="27"/>
  </w:num>
  <w:num w:numId="15">
    <w:abstractNumId w:val="13"/>
  </w:num>
  <w:num w:numId="16">
    <w:abstractNumId w:val="15"/>
  </w:num>
  <w:num w:numId="17">
    <w:abstractNumId w:val="16"/>
  </w:num>
  <w:num w:numId="18">
    <w:abstractNumId w:val="10"/>
  </w:num>
  <w:num w:numId="19">
    <w:abstractNumId w:val="26"/>
  </w:num>
  <w:num w:numId="20">
    <w:abstractNumId w:val="9"/>
  </w:num>
  <w:num w:numId="21">
    <w:abstractNumId w:val="17"/>
  </w:num>
  <w:num w:numId="22">
    <w:abstractNumId w:val="21"/>
  </w:num>
  <w:num w:numId="23">
    <w:abstractNumId w:val="22"/>
  </w:num>
  <w:num w:numId="24">
    <w:abstractNumId w:val="12"/>
  </w:num>
  <w:num w:numId="25">
    <w:abstractNumId w:val="20"/>
  </w:num>
  <w:num w:numId="26">
    <w:abstractNumId w:val="29"/>
  </w:num>
  <w:num w:numId="27">
    <w:abstractNumId w:val="23"/>
  </w:num>
  <w:num w:numId="28">
    <w:abstractNumId w:val="14"/>
  </w:num>
  <w:num w:numId="29">
    <w:abstractNumId w:val="27"/>
  </w:num>
  <w:num w:numId="30">
    <w:abstractNumId w:val="13"/>
  </w:num>
  <w:num w:numId="31">
    <w:abstractNumId w:val="15"/>
  </w:num>
  <w:num w:numId="32">
    <w:abstractNumId w:val="16"/>
  </w:num>
  <w:num w:numId="33">
    <w:abstractNumId w:val="10"/>
  </w:num>
  <w:num w:numId="34">
    <w:abstractNumId w:val="26"/>
  </w:num>
  <w:num w:numId="35">
    <w:abstractNumId w:val="9"/>
  </w:num>
  <w:num w:numId="36">
    <w:abstractNumId w:val="17"/>
  </w:num>
  <w:num w:numId="37">
    <w:abstractNumId w:val="21"/>
  </w:num>
  <w:num w:numId="38">
    <w:abstractNumId w:val="22"/>
  </w:num>
  <w:num w:numId="39">
    <w:abstractNumId w:val="12"/>
  </w:num>
  <w:num w:numId="40">
    <w:abstractNumId w:val="20"/>
  </w:num>
  <w:num w:numId="41">
    <w:abstractNumId w:val="29"/>
  </w:num>
  <w:num w:numId="42">
    <w:abstractNumId w:val="24"/>
  </w:num>
  <w:num w:numId="43">
    <w:abstractNumId w:val="28"/>
  </w:num>
  <w:num w:numId="44">
    <w:abstractNumId w:val="19"/>
  </w:num>
  <w:num w:numId="45">
    <w:abstractNumId w:val="25"/>
  </w:num>
  <w:num w:numId="46">
    <w:abstractNumId w:val="11"/>
  </w:num>
  <w:num w:numId="47">
    <w:abstractNumId w:val="8"/>
  </w:num>
  <w:num w:numId="4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3-01-18 08:48:08"/>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9015795B-E1C9-4900-BA63-C0D8775EE751"/>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establishing the template for the annual performance reports on the Instrument for Financial Support for Border Management and Visa Policy for the 2021-2027 programming period, pursuant to Regulation (EU) 2021/1148"/>
    <w:docVar w:name="LW_OBJETACTEPRINCIPAL.CP" w:val="establishing the template for the annual performance reports on the Instrument for Financial Support for Border Management and Visa Policy for the 2021-2027 programming period, pursuant to Regulation (EU) 2021/1148"/>
    <w:docVar w:name="LW_PART_NBR" w:val="1"/>
    <w:docVar w:name="LW_PART_NBR_TOTAL" w:val="1"/>
    <w:docVar w:name="LW_REF.INST.NEW" w:val="C"/>
    <w:docVar w:name="LW_REF.INST.NEW_ADOPTED" w:val="final"/>
    <w:docVar w:name="LW_REF.INST.NEW_TEXT" w:val="(2023) 5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w:docVar w:name="LW_TYPEACTEPRINCIPAL.CP" w:val="Commission Implementing Regulation"/>
    <w:docVar w:name="LwApiVersions" w:val="LW4CoDe 1.23.2.0; LW 8.0, Build 20211117"/>
  </w:docVars>
  <w:rsids>
    <w:rsidRoot w:val="00555224"/>
    <w:rsid w:val="0000016F"/>
    <w:rsid w:val="00002D2B"/>
    <w:rsid w:val="000133CF"/>
    <w:rsid w:val="00014F7C"/>
    <w:rsid w:val="0001528B"/>
    <w:rsid w:val="00015579"/>
    <w:rsid w:val="00026E75"/>
    <w:rsid w:val="00034CA7"/>
    <w:rsid w:val="00046462"/>
    <w:rsid w:val="00053829"/>
    <w:rsid w:val="00070021"/>
    <w:rsid w:val="0007520F"/>
    <w:rsid w:val="00075EDB"/>
    <w:rsid w:val="00081CCF"/>
    <w:rsid w:val="00083808"/>
    <w:rsid w:val="000858E5"/>
    <w:rsid w:val="00085A16"/>
    <w:rsid w:val="00085D54"/>
    <w:rsid w:val="00090285"/>
    <w:rsid w:val="000903CC"/>
    <w:rsid w:val="00095E27"/>
    <w:rsid w:val="000A0779"/>
    <w:rsid w:val="000A63E6"/>
    <w:rsid w:val="000B65C8"/>
    <w:rsid w:val="000C122F"/>
    <w:rsid w:val="000C4CC6"/>
    <w:rsid w:val="000C75AF"/>
    <w:rsid w:val="000D3792"/>
    <w:rsid w:val="000D44D0"/>
    <w:rsid w:val="000F1478"/>
    <w:rsid w:val="000F1C58"/>
    <w:rsid w:val="001015BB"/>
    <w:rsid w:val="00104E34"/>
    <w:rsid w:val="00111D07"/>
    <w:rsid w:val="00122018"/>
    <w:rsid w:val="00127BA7"/>
    <w:rsid w:val="001320D1"/>
    <w:rsid w:val="001373DE"/>
    <w:rsid w:val="00141E24"/>
    <w:rsid w:val="00151819"/>
    <w:rsid w:val="00152894"/>
    <w:rsid w:val="00153209"/>
    <w:rsid w:val="001540DD"/>
    <w:rsid w:val="0015448D"/>
    <w:rsid w:val="00154541"/>
    <w:rsid w:val="00157ADF"/>
    <w:rsid w:val="00170B95"/>
    <w:rsid w:val="00181A3F"/>
    <w:rsid w:val="0018365F"/>
    <w:rsid w:val="0019152D"/>
    <w:rsid w:val="00192F9E"/>
    <w:rsid w:val="001A1F71"/>
    <w:rsid w:val="001A292A"/>
    <w:rsid w:val="001B37B7"/>
    <w:rsid w:val="001C0807"/>
    <w:rsid w:val="001C4994"/>
    <w:rsid w:val="001D175D"/>
    <w:rsid w:val="001E0672"/>
    <w:rsid w:val="001E3E4B"/>
    <w:rsid w:val="001E42FD"/>
    <w:rsid w:val="001E5F94"/>
    <w:rsid w:val="001E7B51"/>
    <w:rsid w:val="001F1131"/>
    <w:rsid w:val="001F71DC"/>
    <w:rsid w:val="00200C0C"/>
    <w:rsid w:val="00202C38"/>
    <w:rsid w:val="00213022"/>
    <w:rsid w:val="002166C4"/>
    <w:rsid w:val="00216D79"/>
    <w:rsid w:val="002229DC"/>
    <w:rsid w:val="00233356"/>
    <w:rsid w:val="00236574"/>
    <w:rsid w:val="002442EE"/>
    <w:rsid w:val="00244632"/>
    <w:rsid w:val="00244A46"/>
    <w:rsid w:val="002456D6"/>
    <w:rsid w:val="00251735"/>
    <w:rsid w:val="00254824"/>
    <w:rsid w:val="00260785"/>
    <w:rsid w:val="00267706"/>
    <w:rsid w:val="00271400"/>
    <w:rsid w:val="002755EE"/>
    <w:rsid w:val="00277AF0"/>
    <w:rsid w:val="00277E24"/>
    <w:rsid w:val="002800A7"/>
    <w:rsid w:val="002832BE"/>
    <w:rsid w:val="00283385"/>
    <w:rsid w:val="002871C6"/>
    <w:rsid w:val="00295D91"/>
    <w:rsid w:val="00296314"/>
    <w:rsid w:val="002A42CC"/>
    <w:rsid w:val="002A6B7D"/>
    <w:rsid w:val="002C4A46"/>
    <w:rsid w:val="002C5347"/>
    <w:rsid w:val="002C60F2"/>
    <w:rsid w:val="002D571C"/>
    <w:rsid w:val="002D6A52"/>
    <w:rsid w:val="002E13C5"/>
    <w:rsid w:val="002E355D"/>
    <w:rsid w:val="002E5A3B"/>
    <w:rsid w:val="002E6AD7"/>
    <w:rsid w:val="002E75F5"/>
    <w:rsid w:val="002F1935"/>
    <w:rsid w:val="002F5106"/>
    <w:rsid w:val="003003B7"/>
    <w:rsid w:val="00305958"/>
    <w:rsid w:val="0031211D"/>
    <w:rsid w:val="0032373D"/>
    <w:rsid w:val="00323AA1"/>
    <w:rsid w:val="00327883"/>
    <w:rsid w:val="0033203E"/>
    <w:rsid w:val="00332A4B"/>
    <w:rsid w:val="00332CDB"/>
    <w:rsid w:val="00347EE8"/>
    <w:rsid w:val="0035085A"/>
    <w:rsid w:val="00351C18"/>
    <w:rsid w:val="0035484F"/>
    <w:rsid w:val="003651F7"/>
    <w:rsid w:val="0037290B"/>
    <w:rsid w:val="003923CA"/>
    <w:rsid w:val="003945F3"/>
    <w:rsid w:val="003A14BE"/>
    <w:rsid w:val="003A6A89"/>
    <w:rsid w:val="003B217D"/>
    <w:rsid w:val="003B5D65"/>
    <w:rsid w:val="003B616F"/>
    <w:rsid w:val="003D6DE4"/>
    <w:rsid w:val="003E1991"/>
    <w:rsid w:val="003E338B"/>
    <w:rsid w:val="003E36B0"/>
    <w:rsid w:val="003E4922"/>
    <w:rsid w:val="003E49B2"/>
    <w:rsid w:val="003E7D66"/>
    <w:rsid w:val="003E7F9C"/>
    <w:rsid w:val="00405D43"/>
    <w:rsid w:val="0040753E"/>
    <w:rsid w:val="00410DEC"/>
    <w:rsid w:val="0041224B"/>
    <w:rsid w:val="00412EEB"/>
    <w:rsid w:val="00426432"/>
    <w:rsid w:val="004300B0"/>
    <w:rsid w:val="00430490"/>
    <w:rsid w:val="00430792"/>
    <w:rsid w:val="00433679"/>
    <w:rsid w:val="004371FD"/>
    <w:rsid w:val="00437336"/>
    <w:rsid w:val="0044327D"/>
    <w:rsid w:val="00457D1B"/>
    <w:rsid w:val="00462F73"/>
    <w:rsid w:val="004630E2"/>
    <w:rsid w:val="00475B8F"/>
    <w:rsid w:val="00481574"/>
    <w:rsid w:val="004827CC"/>
    <w:rsid w:val="00485273"/>
    <w:rsid w:val="00490445"/>
    <w:rsid w:val="004944B9"/>
    <w:rsid w:val="0049684A"/>
    <w:rsid w:val="0049785B"/>
    <w:rsid w:val="004A30F9"/>
    <w:rsid w:val="004A4D9D"/>
    <w:rsid w:val="004B3767"/>
    <w:rsid w:val="004B3947"/>
    <w:rsid w:val="004C4A48"/>
    <w:rsid w:val="004D7779"/>
    <w:rsid w:val="004E137F"/>
    <w:rsid w:val="004F00F8"/>
    <w:rsid w:val="004F0A2D"/>
    <w:rsid w:val="004F1E95"/>
    <w:rsid w:val="004F5E71"/>
    <w:rsid w:val="005000D5"/>
    <w:rsid w:val="0050274B"/>
    <w:rsid w:val="00503E2D"/>
    <w:rsid w:val="00515026"/>
    <w:rsid w:val="00520A2F"/>
    <w:rsid w:val="00523DE2"/>
    <w:rsid w:val="00530EF0"/>
    <w:rsid w:val="00532177"/>
    <w:rsid w:val="00535AC2"/>
    <w:rsid w:val="005365AB"/>
    <w:rsid w:val="0053671E"/>
    <w:rsid w:val="00541715"/>
    <w:rsid w:val="00545857"/>
    <w:rsid w:val="00547CE8"/>
    <w:rsid w:val="00552A8B"/>
    <w:rsid w:val="00555224"/>
    <w:rsid w:val="00555916"/>
    <w:rsid w:val="00561E3E"/>
    <w:rsid w:val="0056447F"/>
    <w:rsid w:val="00571255"/>
    <w:rsid w:val="00582244"/>
    <w:rsid w:val="00584420"/>
    <w:rsid w:val="005856EF"/>
    <w:rsid w:val="0058761E"/>
    <w:rsid w:val="00591AB0"/>
    <w:rsid w:val="0059250C"/>
    <w:rsid w:val="00593DD3"/>
    <w:rsid w:val="005A3D19"/>
    <w:rsid w:val="005B2829"/>
    <w:rsid w:val="005B6934"/>
    <w:rsid w:val="005B69E9"/>
    <w:rsid w:val="005C47C3"/>
    <w:rsid w:val="005D307F"/>
    <w:rsid w:val="005E568E"/>
    <w:rsid w:val="005F3499"/>
    <w:rsid w:val="0060357A"/>
    <w:rsid w:val="006114BC"/>
    <w:rsid w:val="006140C2"/>
    <w:rsid w:val="00621526"/>
    <w:rsid w:val="00623FB7"/>
    <w:rsid w:val="00624C98"/>
    <w:rsid w:val="006332AF"/>
    <w:rsid w:val="00636FE6"/>
    <w:rsid w:val="0065444C"/>
    <w:rsid w:val="00656EC7"/>
    <w:rsid w:val="00674F45"/>
    <w:rsid w:val="00683DBB"/>
    <w:rsid w:val="006968E5"/>
    <w:rsid w:val="006A366B"/>
    <w:rsid w:val="006A41E2"/>
    <w:rsid w:val="006A4B05"/>
    <w:rsid w:val="006B053D"/>
    <w:rsid w:val="006B5B67"/>
    <w:rsid w:val="006C0D1D"/>
    <w:rsid w:val="006C5C3B"/>
    <w:rsid w:val="006D05D8"/>
    <w:rsid w:val="006D52DE"/>
    <w:rsid w:val="006E268C"/>
    <w:rsid w:val="006F1E13"/>
    <w:rsid w:val="006F3C12"/>
    <w:rsid w:val="006F5ACE"/>
    <w:rsid w:val="006F64DA"/>
    <w:rsid w:val="00700235"/>
    <w:rsid w:val="007027D4"/>
    <w:rsid w:val="00714C40"/>
    <w:rsid w:val="00715C24"/>
    <w:rsid w:val="0071685A"/>
    <w:rsid w:val="00720ABB"/>
    <w:rsid w:val="0072518C"/>
    <w:rsid w:val="0073178E"/>
    <w:rsid w:val="00734F22"/>
    <w:rsid w:val="0074216E"/>
    <w:rsid w:val="007478DA"/>
    <w:rsid w:val="00747C96"/>
    <w:rsid w:val="00750E82"/>
    <w:rsid w:val="00756B8B"/>
    <w:rsid w:val="00760682"/>
    <w:rsid w:val="00761619"/>
    <w:rsid w:val="00761FFD"/>
    <w:rsid w:val="00766BB4"/>
    <w:rsid w:val="007720C2"/>
    <w:rsid w:val="0077621B"/>
    <w:rsid w:val="007775C9"/>
    <w:rsid w:val="00780408"/>
    <w:rsid w:val="0078415E"/>
    <w:rsid w:val="0078471E"/>
    <w:rsid w:val="00784D41"/>
    <w:rsid w:val="007850C9"/>
    <w:rsid w:val="00790F74"/>
    <w:rsid w:val="00794F0B"/>
    <w:rsid w:val="00795D58"/>
    <w:rsid w:val="007C672A"/>
    <w:rsid w:val="007C7AAC"/>
    <w:rsid w:val="007D0D22"/>
    <w:rsid w:val="007D11F7"/>
    <w:rsid w:val="007F17A7"/>
    <w:rsid w:val="007F1A68"/>
    <w:rsid w:val="007F6345"/>
    <w:rsid w:val="008008F2"/>
    <w:rsid w:val="00804283"/>
    <w:rsid w:val="00804A12"/>
    <w:rsid w:val="00813DBC"/>
    <w:rsid w:val="008160B2"/>
    <w:rsid w:val="00817220"/>
    <w:rsid w:val="00817DCD"/>
    <w:rsid w:val="00824438"/>
    <w:rsid w:val="00830E61"/>
    <w:rsid w:val="00831111"/>
    <w:rsid w:val="00836645"/>
    <w:rsid w:val="00836C96"/>
    <w:rsid w:val="00845587"/>
    <w:rsid w:val="00857C22"/>
    <w:rsid w:val="00860CF3"/>
    <w:rsid w:val="00865122"/>
    <w:rsid w:val="008671BE"/>
    <w:rsid w:val="008710E0"/>
    <w:rsid w:val="0087657F"/>
    <w:rsid w:val="008834EB"/>
    <w:rsid w:val="00885736"/>
    <w:rsid w:val="00890200"/>
    <w:rsid w:val="008908D4"/>
    <w:rsid w:val="00892376"/>
    <w:rsid w:val="00893A65"/>
    <w:rsid w:val="00894A2F"/>
    <w:rsid w:val="008A02D6"/>
    <w:rsid w:val="008B1A84"/>
    <w:rsid w:val="008B2DD3"/>
    <w:rsid w:val="008B7F82"/>
    <w:rsid w:val="008C3D9E"/>
    <w:rsid w:val="008C3E02"/>
    <w:rsid w:val="008D1226"/>
    <w:rsid w:val="008D327B"/>
    <w:rsid w:val="008D3763"/>
    <w:rsid w:val="008E1CAB"/>
    <w:rsid w:val="008F1DB4"/>
    <w:rsid w:val="008F4E6A"/>
    <w:rsid w:val="008F6771"/>
    <w:rsid w:val="008F6ACB"/>
    <w:rsid w:val="00900D70"/>
    <w:rsid w:val="00903377"/>
    <w:rsid w:val="00914B22"/>
    <w:rsid w:val="009170CA"/>
    <w:rsid w:val="00925698"/>
    <w:rsid w:val="00927926"/>
    <w:rsid w:val="00930399"/>
    <w:rsid w:val="00933FC4"/>
    <w:rsid w:val="009362A9"/>
    <w:rsid w:val="00940E4A"/>
    <w:rsid w:val="00943CAB"/>
    <w:rsid w:val="00945407"/>
    <w:rsid w:val="009462A4"/>
    <w:rsid w:val="00947F13"/>
    <w:rsid w:val="009525FC"/>
    <w:rsid w:val="00956638"/>
    <w:rsid w:val="00957727"/>
    <w:rsid w:val="00957881"/>
    <w:rsid w:val="00965501"/>
    <w:rsid w:val="00965714"/>
    <w:rsid w:val="009668A9"/>
    <w:rsid w:val="00967035"/>
    <w:rsid w:val="00971D40"/>
    <w:rsid w:val="00981E87"/>
    <w:rsid w:val="009830B4"/>
    <w:rsid w:val="00983335"/>
    <w:rsid w:val="00983339"/>
    <w:rsid w:val="00983760"/>
    <w:rsid w:val="0099522D"/>
    <w:rsid w:val="0099611C"/>
    <w:rsid w:val="009A235E"/>
    <w:rsid w:val="009A48FE"/>
    <w:rsid w:val="009B255F"/>
    <w:rsid w:val="009B5FFF"/>
    <w:rsid w:val="009C3846"/>
    <w:rsid w:val="009D2860"/>
    <w:rsid w:val="009D3A7D"/>
    <w:rsid w:val="009D6E48"/>
    <w:rsid w:val="009D7228"/>
    <w:rsid w:val="009E75AB"/>
    <w:rsid w:val="009F6E22"/>
    <w:rsid w:val="009F716C"/>
    <w:rsid w:val="00A002B3"/>
    <w:rsid w:val="00A02CE9"/>
    <w:rsid w:val="00A05322"/>
    <w:rsid w:val="00A0708A"/>
    <w:rsid w:val="00A07420"/>
    <w:rsid w:val="00A148D3"/>
    <w:rsid w:val="00A21690"/>
    <w:rsid w:val="00A24854"/>
    <w:rsid w:val="00A417FB"/>
    <w:rsid w:val="00A60C46"/>
    <w:rsid w:val="00A61670"/>
    <w:rsid w:val="00A63309"/>
    <w:rsid w:val="00A646D5"/>
    <w:rsid w:val="00A72A4F"/>
    <w:rsid w:val="00A7322A"/>
    <w:rsid w:val="00A8089E"/>
    <w:rsid w:val="00A847E6"/>
    <w:rsid w:val="00A91199"/>
    <w:rsid w:val="00A93714"/>
    <w:rsid w:val="00A94B82"/>
    <w:rsid w:val="00A94DC1"/>
    <w:rsid w:val="00A97818"/>
    <w:rsid w:val="00AA72E3"/>
    <w:rsid w:val="00AB0131"/>
    <w:rsid w:val="00AB4FA4"/>
    <w:rsid w:val="00AC191B"/>
    <w:rsid w:val="00AC79AE"/>
    <w:rsid w:val="00AD502C"/>
    <w:rsid w:val="00AE5793"/>
    <w:rsid w:val="00AE5AA2"/>
    <w:rsid w:val="00AF2D41"/>
    <w:rsid w:val="00AF6FB1"/>
    <w:rsid w:val="00B00D91"/>
    <w:rsid w:val="00B03A44"/>
    <w:rsid w:val="00B043A6"/>
    <w:rsid w:val="00B07595"/>
    <w:rsid w:val="00B103F8"/>
    <w:rsid w:val="00B14B77"/>
    <w:rsid w:val="00B21A52"/>
    <w:rsid w:val="00B22BCD"/>
    <w:rsid w:val="00B2365F"/>
    <w:rsid w:val="00B31C15"/>
    <w:rsid w:val="00B31F1F"/>
    <w:rsid w:val="00B37D6F"/>
    <w:rsid w:val="00B469ED"/>
    <w:rsid w:val="00B52073"/>
    <w:rsid w:val="00B54804"/>
    <w:rsid w:val="00B5488D"/>
    <w:rsid w:val="00B60C80"/>
    <w:rsid w:val="00B62194"/>
    <w:rsid w:val="00B642B4"/>
    <w:rsid w:val="00B67D57"/>
    <w:rsid w:val="00B71583"/>
    <w:rsid w:val="00B72B08"/>
    <w:rsid w:val="00B75806"/>
    <w:rsid w:val="00B80600"/>
    <w:rsid w:val="00B83642"/>
    <w:rsid w:val="00B8569E"/>
    <w:rsid w:val="00B86258"/>
    <w:rsid w:val="00BA6E76"/>
    <w:rsid w:val="00BC3884"/>
    <w:rsid w:val="00BC4E1A"/>
    <w:rsid w:val="00BC5F3E"/>
    <w:rsid w:val="00BD5A8A"/>
    <w:rsid w:val="00BE0854"/>
    <w:rsid w:val="00BE551E"/>
    <w:rsid w:val="00BE662A"/>
    <w:rsid w:val="00BE7076"/>
    <w:rsid w:val="00BF0850"/>
    <w:rsid w:val="00BF115B"/>
    <w:rsid w:val="00BF6443"/>
    <w:rsid w:val="00C01781"/>
    <w:rsid w:val="00C060C5"/>
    <w:rsid w:val="00C07548"/>
    <w:rsid w:val="00C103F3"/>
    <w:rsid w:val="00C150E0"/>
    <w:rsid w:val="00C21D44"/>
    <w:rsid w:val="00C22CA9"/>
    <w:rsid w:val="00C22CD5"/>
    <w:rsid w:val="00C267A3"/>
    <w:rsid w:val="00C26C38"/>
    <w:rsid w:val="00C338CD"/>
    <w:rsid w:val="00C34840"/>
    <w:rsid w:val="00C40797"/>
    <w:rsid w:val="00C42346"/>
    <w:rsid w:val="00C45A19"/>
    <w:rsid w:val="00C51C64"/>
    <w:rsid w:val="00C56E81"/>
    <w:rsid w:val="00C625CC"/>
    <w:rsid w:val="00C62604"/>
    <w:rsid w:val="00C629AE"/>
    <w:rsid w:val="00C71006"/>
    <w:rsid w:val="00C71B80"/>
    <w:rsid w:val="00C8307A"/>
    <w:rsid w:val="00C86961"/>
    <w:rsid w:val="00C95F33"/>
    <w:rsid w:val="00CA1861"/>
    <w:rsid w:val="00CA4A64"/>
    <w:rsid w:val="00CA72EE"/>
    <w:rsid w:val="00CB565B"/>
    <w:rsid w:val="00CB6CFF"/>
    <w:rsid w:val="00CC02EE"/>
    <w:rsid w:val="00CD3B24"/>
    <w:rsid w:val="00CE6F79"/>
    <w:rsid w:val="00CF524F"/>
    <w:rsid w:val="00CF5386"/>
    <w:rsid w:val="00CF5812"/>
    <w:rsid w:val="00CF73D2"/>
    <w:rsid w:val="00CF742E"/>
    <w:rsid w:val="00D0691F"/>
    <w:rsid w:val="00D07095"/>
    <w:rsid w:val="00D071BC"/>
    <w:rsid w:val="00D138D3"/>
    <w:rsid w:val="00D139E5"/>
    <w:rsid w:val="00D14E91"/>
    <w:rsid w:val="00D21661"/>
    <w:rsid w:val="00D23A6D"/>
    <w:rsid w:val="00D24C3F"/>
    <w:rsid w:val="00D24F61"/>
    <w:rsid w:val="00D2663D"/>
    <w:rsid w:val="00D27059"/>
    <w:rsid w:val="00D30870"/>
    <w:rsid w:val="00D34EB6"/>
    <w:rsid w:val="00D368BC"/>
    <w:rsid w:val="00D40AED"/>
    <w:rsid w:val="00D50684"/>
    <w:rsid w:val="00D56948"/>
    <w:rsid w:val="00D605B4"/>
    <w:rsid w:val="00D64C6C"/>
    <w:rsid w:val="00D6590A"/>
    <w:rsid w:val="00D65A42"/>
    <w:rsid w:val="00D7058C"/>
    <w:rsid w:val="00D70BC5"/>
    <w:rsid w:val="00D75443"/>
    <w:rsid w:val="00D821C7"/>
    <w:rsid w:val="00D8312A"/>
    <w:rsid w:val="00D92717"/>
    <w:rsid w:val="00D95A83"/>
    <w:rsid w:val="00DA11E5"/>
    <w:rsid w:val="00DA44BA"/>
    <w:rsid w:val="00DA70A3"/>
    <w:rsid w:val="00DB17CF"/>
    <w:rsid w:val="00DB4106"/>
    <w:rsid w:val="00DC1A17"/>
    <w:rsid w:val="00DC3C8A"/>
    <w:rsid w:val="00DD105A"/>
    <w:rsid w:val="00DD1128"/>
    <w:rsid w:val="00DD2737"/>
    <w:rsid w:val="00DD3108"/>
    <w:rsid w:val="00DD31FA"/>
    <w:rsid w:val="00DD3A1F"/>
    <w:rsid w:val="00DE6181"/>
    <w:rsid w:val="00DF49E1"/>
    <w:rsid w:val="00DF68E6"/>
    <w:rsid w:val="00DF77FD"/>
    <w:rsid w:val="00DF7BF3"/>
    <w:rsid w:val="00E20371"/>
    <w:rsid w:val="00E23C83"/>
    <w:rsid w:val="00E304F0"/>
    <w:rsid w:val="00E31164"/>
    <w:rsid w:val="00E3390F"/>
    <w:rsid w:val="00E43934"/>
    <w:rsid w:val="00E45665"/>
    <w:rsid w:val="00E457CC"/>
    <w:rsid w:val="00E45982"/>
    <w:rsid w:val="00E55D50"/>
    <w:rsid w:val="00E80570"/>
    <w:rsid w:val="00E826E0"/>
    <w:rsid w:val="00E840B0"/>
    <w:rsid w:val="00E86B00"/>
    <w:rsid w:val="00E9229D"/>
    <w:rsid w:val="00E930D8"/>
    <w:rsid w:val="00E9573D"/>
    <w:rsid w:val="00E9783C"/>
    <w:rsid w:val="00EA7986"/>
    <w:rsid w:val="00EB15FB"/>
    <w:rsid w:val="00EB3DF4"/>
    <w:rsid w:val="00EB4DBF"/>
    <w:rsid w:val="00ED111D"/>
    <w:rsid w:val="00ED2D48"/>
    <w:rsid w:val="00ED3594"/>
    <w:rsid w:val="00ED3969"/>
    <w:rsid w:val="00ED3E23"/>
    <w:rsid w:val="00ED5FE0"/>
    <w:rsid w:val="00ED6A6E"/>
    <w:rsid w:val="00EE3846"/>
    <w:rsid w:val="00EE5052"/>
    <w:rsid w:val="00EE6102"/>
    <w:rsid w:val="00EE66B3"/>
    <w:rsid w:val="00EF1F1D"/>
    <w:rsid w:val="00F01869"/>
    <w:rsid w:val="00F10FC9"/>
    <w:rsid w:val="00F11C30"/>
    <w:rsid w:val="00F12B44"/>
    <w:rsid w:val="00F20874"/>
    <w:rsid w:val="00F30684"/>
    <w:rsid w:val="00F3358C"/>
    <w:rsid w:val="00F42C44"/>
    <w:rsid w:val="00F46BD5"/>
    <w:rsid w:val="00F47EA7"/>
    <w:rsid w:val="00F529BE"/>
    <w:rsid w:val="00F52B80"/>
    <w:rsid w:val="00F611C1"/>
    <w:rsid w:val="00F614ED"/>
    <w:rsid w:val="00F70AC4"/>
    <w:rsid w:val="00F72229"/>
    <w:rsid w:val="00F74119"/>
    <w:rsid w:val="00F7790E"/>
    <w:rsid w:val="00F91152"/>
    <w:rsid w:val="00FA20F7"/>
    <w:rsid w:val="00FA3952"/>
    <w:rsid w:val="00FA5A5C"/>
    <w:rsid w:val="00FC1EE3"/>
    <w:rsid w:val="00FC60B8"/>
    <w:rsid w:val="00FD144E"/>
    <w:rsid w:val="00FE47CA"/>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E85930A"/>
  <w15:docId w15:val="{F1047FA5-3F82-421D-87AF-F09531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pPr>
      <w:keepNext/>
      <w:numPr>
        <w:numId w:val="34"/>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pPr>
      <w:keepNext/>
      <w:numPr>
        <w:ilvl w:val="1"/>
        <w:numId w:val="34"/>
      </w:numPr>
      <w:outlineLvl w:val="1"/>
    </w:pPr>
    <w:rPr>
      <w:rFonts w:eastAsiaTheme="majorEastAsia"/>
      <w:b/>
      <w:bCs/>
      <w:szCs w:val="26"/>
    </w:rPr>
  </w:style>
  <w:style w:type="paragraph" w:styleId="Titre3">
    <w:name w:val="heading 3"/>
    <w:basedOn w:val="Normal"/>
    <w:next w:val="Text1"/>
    <w:link w:val="Titre3Car"/>
    <w:uiPriority w:val="9"/>
    <w:semiHidden/>
    <w:unhideWhenUsed/>
    <w:qFormat/>
    <w:pPr>
      <w:keepNext/>
      <w:numPr>
        <w:ilvl w:val="2"/>
        <w:numId w:val="34"/>
      </w:numPr>
      <w:outlineLvl w:val="2"/>
    </w:pPr>
    <w:rPr>
      <w:rFonts w:eastAsiaTheme="majorEastAsia"/>
      <w:bCs/>
      <w:i/>
    </w:rPr>
  </w:style>
  <w:style w:type="paragraph" w:styleId="Titre4">
    <w:name w:val="heading 4"/>
    <w:basedOn w:val="Normal"/>
    <w:next w:val="Text1"/>
    <w:link w:val="Titre4Car"/>
    <w:uiPriority w:val="9"/>
    <w:semiHidden/>
    <w:unhideWhenUsed/>
    <w:qFormat/>
    <w:pPr>
      <w:keepNext/>
      <w:numPr>
        <w:ilvl w:val="3"/>
        <w:numId w:val="34"/>
      </w:numPr>
      <w:outlineLvl w:val="3"/>
    </w:pPr>
    <w:rPr>
      <w:rFonts w:eastAsiaTheme="majorEastAsia"/>
      <w:bCs/>
      <w:iCs/>
    </w:rPr>
  </w:style>
  <w:style w:type="paragraph" w:styleId="Titre5">
    <w:name w:val="heading 5"/>
    <w:basedOn w:val="Normal"/>
    <w:next w:val="Text2"/>
    <w:link w:val="Titre5Car"/>
    <w:uiPriority w:val="9"/>
    <w:semiHidden/>
    <w:unhideWhenUsed/>
    <w:qFormat/>
    <w:pPr>
      <w:keepNext/>
      <w:numPr>
        <w:ilvl w:val="4"/>
        <w:numId w:val="34"/>
      </w:numPr>
      <w:outlineLvl w:val="4"/>
    </w:pPr>
    <w:rPr>
      <w:rFonts w:eastAsiaTheme="majorEastAsia"/>
    </w:rPr>
  </w:style>
  <w:style w:type="paragraph" w:styleId="Titre6">
    <w:name w:val="heading 6"/>
    <w:basedOn w:val="Normal"/>
    <w:next w:val="Text2"/>
    <w:link w:val="Titre6Car"/>
    <w:uiPriority w:val="9"/>
    <w:semiHidden/>
    <w:unhideWhenUsed/>
    <w:qFormat/>
    <w:pPr>
      <w:keepNext/>
      <w:numPr>
        <w:ilvl w:val="5"/>
        <w:numId w:val="34"/>
      </w:numPr>
      <w:outlineLvl w:val="5"/>
    </w:pPr>
    <w:rPr>
      <w:rFonts w:eastAsiaTheme="majorEastAsia"/>
      <w:iCs/>
    </w:rPr>
  </w:style>
  <w:style w:type="paragraph" w:styleId="Titre7">
    <w:name w:val="heading 7"/>
    <w:basedOn w:val="Normal"/>
    <w:next w:val="Text2"/>
    <w:link w:val="Titre7Car"/>
    <w:uiPriority w:val="9"/>
    <w:semiHidden/>
    <w:unhideWhenUsed/>
    <w:qFormat/>
    <w:pPr>
      <w:keepNext/>
      <w:numPr>
        <w:ilvl w:val="6"/>
        <w:numId w:val="34"/>
      </w:numPr>
      <w:outlineLvl w:val="6"/>
    </w:pPr>
    <w:rPr>
      <w:rFonts w:eastAsiaTheme="majorEastAsia"/>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7657F"/>
    <w:rPr>
      <w:sz w:val="16"/>
      <w:szCs w:val="16"/>
    </w:rPr>
  </w:style>
  <w:style w:type="paragraph" w:styleId="Commentaire">
    <w:name w:val="annotation text"/>
    <w:basedOn w:val="Normal"/>
    <w:link w:val="CommentaireCar"/>
    <w:uiPriority w:val="99"/>
    <w:unhideWhenUsed/>
    <w:rsid w:val="0087657F"/>
    <w:rPr>
      <w:sz w:val="20"/>
      <w:szCs w:val="20"/>
    </w:rPr>
  </w:style>
  <w:style w:type="character" w:customStyle="1" w:styleId="CommentaireCar">
    <w:name w:val="Commentaire Car"/>
    <w:basedOn w:val="Policepardfaut"/>
    <w:link w:val="Commentaire"/>
    <w:uiPriority w:val="99"/>
    <w:rsid w:val="0087657F"/>
    <w:rPr>
      <w:rFonts w:ascii="Times New Roman" w:hAnsi="Times New Roman" w:cs="Times New Roman"/>
      <w:sz w:val="20"/>
      <w:szCs w:val="20"/>
      <w:lang w:val="en-GB"/>
    </w:rPr>
  </w:style>
  <w:style w:type="paragraph" w:styleId="Paragraphedeliste">
    <w:name w:val="List Paragraph"/>
    <w:basedOn w:val="Normal"/>
    <w:uiPriority w:val="34"/>
    <w:qFormat/>
    <w:rsid w:val="0087657F"/>
    <w:pPr>
      <w:ind w:left="720"/>
      <w:contextualSpacing/>
    </w:pPr>
  </w:style>
  <w:style w:type="table" w:styleId="Grilledutableau">
    <w:name w:val="Table Grid"/>
    <w:basedOn w:val="TableauNormal"/>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7657F"/>
    <w:pPr>
      <w:spacing w:before="0" w:after="200"/>
    </w:pPr>
    <w:rPr>
      <w:i/>
      <w:iCs/>
      <w:color w:val="1F497D" w:themeColor="text2"/>
      <w:sz w:val="18"/>
      <w:szCs w:val="18"/>
    </w:rPr>
  </w:style>
  <w:style w:type="character" w:customStyle="1" w:styleId="Mention1">
    <w:name w:val="Mention1"/>
    <w:basedOn w:val="Policepardfaut"/>
    <w:uiPriority w:val="99"/>
    <w:unhideWhenUsed/>
    <w:rsid w:val="0087657F"/>
    <w:rPr>
      <w:color w:val="2B579A"/>
      <w:shd w:val="clear" w:color="auto" w:fill="E6E6E6"/>
    </w:rPr>
  </w:style>
  <w:style w:type="table" w:styleId="Grilledetableauclaire">
    <w:name w:val="Grid Table Light"/>
    <w:basedOn w:val="TableauNormal"/>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87657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57F"/>
    <w:rPr>
      <w:rFonts w:ascii="Segoe UI" w:hAnsi="Segoe UI" w:cs="Segoe UI"/>
      <w:sz w:val="18"/>
      <w:szCs w:val="18"/>
      <w:lang w:val="en-GB"/>
    </w:rPr>
  </w:style>
  <w:style w:type="paragraph" w:styleId="Tabledesillustrations">
    <w:name w:val="table of figures"/>
    <w:basedOn w:val="Normal"/>
    <w:next w:val="Normal"/>
    <w:uiPriority w:val="99"/>
    <w:semiHidden/>
    <w:unhideWhenUsed/>
    <w:rsid w:val="00244A46"/>
    <w:pPr>
      <w:spacing w:after="0"/>
    </w:pPr>
  </w:style>
  <w:style w:type="paragraph" w:styleId="Listepuces">
    <w:name w:val="List Bullet"/>
    <w:basedOn w:val="Normal"/>
    <w:uiPriority w:val="99"/>
    <w:semiHidden/>
    <w:unhideWhenUsed/>
    <w:rsid w:val="00244A46"/>
    <w:pPr>
      <w:numPr>
        <w:numId w:val="1"/>
      </w:numPr>
      <w:contextualSpacing/>
    </w:pPr>
  </w:style>
  <w:style w:type="paragraph" w:styleId="Listepuces2">
    <w:name w:val="List Bullet 2"/>
    <w:basedOn w:val="Normal"/>
    <w:uiPriority w:val="99"/>
    <w:semiHidden/>
    <w:unhideWhenUsed/>
    <w:rsid w:val="00244A46"/>
    <w:pPr>
      <w:numPr>
        <w:numId w:val="2"/>
      </w:numPr>
      <w:contextualSpacing/>
    </w:pPr>
  </w:style>
  <w:style w:type="paragraph" w:styleId="Listepuces3">
    <w:name w:val="List Bullet 3"/>
    <w:basedOn w:val="Normal"/>
    <w:uiPriority w:val="99"/>
    <w:semiHidden/>
    <w:unhideWhenUsed/>
    <w:rsid w:val="00244A46"/>
    <w:pPr>
      <w:numPr>
        <w:numId w:val="3"/>
      </w:numPr>
      <w:contextualSpacing/>
    </w:pPr>
  </w:style>
  <w:style w:type="paragraph" w:styleId="Listepuces4">
    <w:name w:val="List Bullet 4"/>
    <w:basedOn w:val="Normal"/>
    <w:uiPriority w:val="99"/>
    <w:semiHidden/>
    <w:unhideWhenUsed/>
    <w:rsid w:val="00244A46"/>
    <w:pPr>
      <w:numPr>
        <w:numId w:val="4"/>
      </w:numPr>
      <w:contextualSpacing/>
    </w:pPr>
  </w:style>
  <w:style w:type="paragraph" w:styleId="Listenumros">
    <w:name w:val="List Number"/>
    <w:basedOn w:val="Normal"/>
    <w:uiPriority w:val="99"/>
    <w:semiHidden/>
    <w:unhideWhenUsed/>
    <w:rsid w:val="00244A46"/>
    <w:pPr>
      <w:numPr>
        <w:numId w:val="5"/>
      </w:numPr>
      <w:contextualSpacing/>
    </w:pPr>
  </w:style>
  <w:style w:type="paragraph" w:styleId="Listenumros2">
    <w:name w:val="List Number 2"/>
    <w:basedOn w:val="Normal"/>
    <w:uiPriority w:val="99"/>
    <w:semiHidden/>
    <w:unhideWhenUsed/>
    <w:rsid w:val="00244A46"/>
    <w:pPr>
      <w:numPr>
        <w:numId w:val="6"/>
      </w:numPr>
      <w:contextualSpacing/>
    </w:pPr>
  </w:style>
  <w:style w:type="paragraph" w:styleId="Listenumros3">
    <w:name w:val="List Number 3"/>
    <w:basedOn w:val="Normal"/>
    <w:uiPriority w:val="99"/>
    <w:semiHidden/>
    <w:unhideWhenUsed/>
    <w:rsid w:val="00244A46"/>
    <w:pPr>
      <w:numPr>
        <w:numId w:val="7"/>
      </w:numPr>
      <w:contextualSpacing/>
    </w:pPr>
  </w:style>
  <w:style w:type="paragraph" w:styleId="Listenumros4">
    <w:name w:val="List Number 4"/>
    <w:basedOn w:val="Normal"/>
    <w:uiPriority w:val="99"/>
    <w:semiHidden/>
    <w:unhideWhenUsed/>
    <w:rsid w:val="00244A46"/>
    <w:pPr>
      <w:numPr>
        <w:numId w:val="8"/>
      </w:numPr>
      <w:contextualSpacing/>
    </w:pPr>
  </w:style>
  <w:style w:type="paragraph" w:styleId="Rvision">
    <w:name w:val="Revision"/>
    <w:hidden/>
    <w:uiPriority w:val="99"/>
    <w:semiHidden/>
    <w:rsid w:val="00C8307A"/>
    <w:pPr>
      <w:spacing w:after="0" w:line="240" w:lineRule="auto"/>
    </w:pPr>
    <w:rPr>
      <w:rFonts w:ascii="Times New Roman" w:hAnsi="Times New Roman" w:cs="Times New Roman"/>
      <w:sz w:val="24"/>
      <w:lang w:val="en-GB"/>
    </w:rPr>
  </w:style>
  <w:style w:type="paragraph" w:styleId="Objetducommentaire">
    <w:name w:val="annotation subject"/>
    <w:basedOn w:val="Commentaire"/>
    <w:next w:val="Commentaire"/>
    <w:link w:val="ObjetducommentaireCar"/>
    <w:uiPriority w:val="99"/>
    <w:semiHidden/>
    <w:unhideWhenUsed/>
    <w:rsid w:val="00AD502C"/>
    <w:rPr>
      <w:b/>
      <w:bCs/>
    </w:rPr>
  </w:style>
  <w:style w:type="character" w:customStyle="1" w:styleId="ObjetducommentaireCar">
    <w:name w:val="Objet du commentaire Car"/>
    <w:basedOn w:val="CommentaireCar"/>
    <w:link w:val="Objetducommentaire"/>
    <w:uiPriority w:val="99"/>
    <w:semiHidden/>
    <w:rsid w:val="00AD502C"/>
    <w:rPr>
      <w:rFonts w:ascii="Times New Roman" w:hAnsi="Times New Roman" w:cs="Times New Roman"/>
      <w:b/>
      <w:bCs/>
      <w:sz w:val="20"/>
      <w:szCs w:val="20"/>
      <w:lang w:val="en-GB"/>
    </w:rPr>
  </w:style>
  <w:style w:type="character" w:styleId="Lienhypertexte">
    <w:name w:val="Hyperlink"/>
    <w:basedOn w:val="Policepardfaut"/>
    <w:uiPriority w:val="99"/>
    <w:unhideWhenUsed/>
    <w:rsid w:val="00AD502C"/>
    <w:rPr>
      <w:color w:val="0000FF" w:themeColor="hyperlink"/>
      <w:u w:val="single"/>
    </w:rPr>
  </w:style>
  <w:style w:type="table" w:styleId="TableauGrille1Clair">
    <w:name w:val="Grid Table 1 Light"/>
    <w:basedOn w:val="TableauNormal"/>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1Clair">
    <w:name w:val="List Table 1 Light"/>
    <w:basedOn w:val="TableauNormal"/>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141E24"/>
    <w:rPr>
      <w:color w:val="800080" w:themeColor="followedHyperlink"/>
      <w:u w:val="single"/>
    </w:rPr>
  </w:style>
  <w:style w:type="paragraph" w:styleId="En-tte">
    <w:name w:val="header"/>
    <w:basedOn w:val="Normal"/>
    <w:link w:val="En-tteCar"/>
    <w:uiPriority w:val="99"/>
    <w:unhideWhenUsed/>
    <w:rsid w:val="007720C2"/>
    <w:pPr>
      <w:tabs>
        <w:tab w:val="center" w:pos="4535"/>
        <w:tab w:val="right" w:pos="9071"/>
      </w:tabs>
      <w:spacing w:before="0"/>
    </w:pPr>
  </w:style>
  <w:style w:type="character" w:customStyle="1" w:styleId="En-tteCar">
    <w:name w:val="En-tête Car"/>
    <w:basedOn w:val="Policepardfaut"/>
    <w:link w:val="En-tte"/>
    <w:uiPriority w:val="99"/>
    <w:rsid w:val="007720C2"/>
    <w:rPr>
      <w:rFonts w:ascii="Times New Roman" w:hAnsi="Times New Roman" w:cs="Times New Roman"/>
      <w:sz w:val="24"/>
      <w:lang w:val="en-GB"/>
    </w:rPr>
  </w:style>
  <w:style w:type="paragraph" w:styleId="Pieddepage">
    <w:name w:val="footer"/>
    <w:basedOn w:val="Normal"/>
    <w:link w:val="PieddepageCar"/>
    <w:uiPriority w:val="99"/>
    <w:unhideWhenUsed/>
    <w:rsid w:val="007720C2"/>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7720C2"/>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shd w:val="clear" w:color="auto" w:fill="auto"/>
      <w:lang w:val="en-GB"/>
    </w:rPr>
  </w:style>
  <w:style w:type="character" w:customStyle="1" w:styleId="Titre1Car">
    <w:name w:val="Titre 1 Car"/>
    <w:basedOn w:val="Policepardfaut"/>
    <w:link w:val="Titre1"/>
    <w:uiPriority w:val="9"/>
    <w:rPr>
      <w:rFonts w:ascii="Times New Roman" w:eastAsiaTheme="majorEastAsia" w:hAnsi="Times New Roman" w:cs="Times New Roman"/>
      <w:b/>
      <w:bCs/>
      <w:smallCaps/>
      <w:sz w:val="24"/>
      <w:szCs w:val="28"/>
      <w:shd w:val="clear" w:color="auto" w:fill="auto"/>
      <w:lang w:val="en-GB"/>
    </w:rPr>
  </w:style>
  <w:style w:type="character" w:customStyle="1" w:styleId="Titre2Car">
    <w:name w:val="Titre 2 Car"/>
    <w:basedOn w:val="Policepardfaut"/>
    <w:link w:val="Titre2"/>
    <w:uiPriority w:val="9"/>
    <w:semiHidden/>
    <w:rPr>
      <w:rFonts w:ascii="Times New Roman" w:eastAsiaTheme="majorEastAsia" w:hAnsi="Times New Roman" w:cs="Times New Roman"/>
      <w:b/>
      <w:bCs/>
      <w:sz w:val="24"/>
      <w:szCs w:val="26"/>
      <w:shd w:val="clear" w:color="auto" w:fill="auto"/>
      <w:lang w:val="en-GB"/>
    </w:rPr>
  </w:style>
  <w:style w:type="character" w:customStyle="1" w:styleId="Titre3Car">
    <w:name w:val="Titre 3 Car"/>
    <w:basedOn w:val="Policepardfaut"/>
    <w:link w:val="Titre3"/>
    <w:uiPriority w:val="9"/>
    <w:semiHidden/>
    <w:rPr>
      <w:rFonts w:ascii="Times New Roman" w:eastAsiaTheme="majorEastAsia" w:hAnsi="Times New Roman" w:cs="Times New Roman"/>
      <w:bCs/>
      <w:i/>
      <w:sz w:val="24"/>
      <w:shd w:val="clear" w:color="auto" w:fill="auto"/>
      <w:lang w:val="en-GB"/>
    </w:rPr>
  </w:style>
  <w:style w:type="character" w:customStyle="1" w:styleId="Titre4Car">
    <w:name w:val="Titre 4 Car"/>
    <w:basedOn w:val="Policepardfaut"/>
    <w:link w:val="Titre4"/>
    <w:uiPriority w:val="9"/>
    <w:semiHidden/>
    <w:rPr>
      <w:rFonts w:ascii="Times New Roman" w:eastAsiaTheme="majorEastAsia" w:hAnsi="Times New Roman" w:cs="Times New Roman"/>
      <w:bCs/>
      <w:iCs/>
      <w:sz w:val="24"/>
      <w:shd w:val="clear" w:color="auto" w:fill="auto"/>
      <w:lang w:val="en-GB"/>
    </w:rPr>
  </w:style>
  <w:style w:type="character" w:customStyle="1" w:styleId="Titre5Car">
    <w:name w:val="Titre 5 Car"/>
    <w:basedOn w:val="Policepardfaut"/>
    <w:link w:val="Titre5"/>
    <w:uiPriority w:val="9"/>
    <w:semiHidden/>
    <w:rPr>
      <w:rFonts w:ascii="Times New Roman" w:eastAsiaTheme="majorEastAsia" w:hAnsi="Times New Roman" w:cs="Times New Roman"/>
      <w:sz w:val="24"/>
      <w:shd w:val="clear" w:color="auto" w:fill="auto"/>
      <w:lang w:val="en-GB"/>
    </w:rPr>
  </w:style>
  <w:style w:type="character" w:customStyle="1" w:styleId="Titre6Car">
    <w:name w:val="Titre 6 Car"/>
    <w:basedOn w:val="Policepardfaut"/>
    <w:link w:val="Titre6"/>
    <w:uiPriority w:val="9"/>
    <w:semiHidden/>
    <w:rPr>
      <w:rFonts w:ascii="Times New Roman" w:eastAsiaTheme="majorEastAsia" w:hAnsi="Times New Roman" w:cs="Times New Roman"/>
      <w:iCs/>
      <w:sz w:val="24"/>
      <w:shd w:val="clear" w:color="auto" w:fill="auto"/>
      <w:lang w:val="en-GB"/>
    </w:rPr>
  </w:style>
  <w:style w:type="character" w:customStyle="1" w:styleId="Titre7Car">
    <w:name w:val="Titre 7 Car"/>
    <w:basedOn w:val="Policepardfaut"/>
    <w:link w:val="Titre7"/>
    <w:uiPriority w:val="9"/>
    <w:semiHidden/>
    <w:rPr>
      <w:rFonts w:ascii="Times New Roman" w:eastAsiaTheme="majorEastAsia" w:hAnsi="Times New Roman" w:cs="Times New Roman"/>
      <w:iCs/>
      <w:sz w:val="24"/>
      <w:shd w:val="clear" w:color="auto" w:fill="auto"/>
      <w:lang w:val="en-GB"/>
    </w:rPr>
  </w:style>
  <w:style w:type="paragraph" w:styleId="En-ttedetabledesmatires">
    <w:name w:val="TOC Heading"/>
    <w:basedOn w:val="Normal"/>
    <w:next w:val="Normal"/>
    <w:uiPriority w:val="39"/>
    <w:semiHidden/>
    <w:unhideWhenUsed/>
    <w:qFormat/>
    <w:pPr>
      <w:spacing w:after="240"/>
      <w:jc w:val="center"/>
    </w:pPr>
    <w:rPr>
      <w:b/>
      <w:sz w:val="28"/>
    </w:rPr>
  </w:style>
  <w:style w:type="paragraph" w:styleId="TM1">
    <w:name w:val="toc 1"/>
    <w:basedOn w:val="Normal"/>
    <w:next w:val="Normal"/>
    <w:uiPriority w:val="39"/>
    <w:semiHidden/>
    <w:unhideWhenUsed/>
    <w:pPr>
      <w:tabs>
        <w:tab w:val="right" w:leader="dot" w:pos="9071"/>
      </w:tabs>
      <w:spacing w:before="60"/>
      <w:ind w:left="850" w:hanging="850"/>
      <w:jc w:val="left"/>
    </w:pPr>
  </w:style>
  <w:style w:type="paragraph" w:styleId="TM2">
    <w:name w:val="toc 2"/>
    <w:basedOn w:val="Normal"/>
    <w:next w:val="Normal"/>
    <w:uiPriority w:val="39"/>
    <w:semiHidden/>
    <w:unhideWhenUsed/>
    <w:pPr>
      <w:tabs>
        <w:tab w:val="right" w:leader="dot" w:pos="9071"/>
      </w:tabs>
      <w:spacing w:before="60"/>
      <w:ind w:left="850" w:hanging="850"/>
      <w:jc w:val="left"/>
    </w:pPr>
  </w:style>
  <w:style w:type="paragraph" w:styleId="TM3">
    <w:name w:val="toc 3"/>
    <w:basedOn w:val="Normal"/>
    <w:next w:val="Normal"/>
    <w:uiPriority w:val="39"/>
    <w:semiHidden/>
    <w:unhideWhenUsed/>
    <w:pPr>
      <w:tabs>
        <w:tab w:val="right" w:leader="dot" w:pos="9071"/>
      </w:tabs>
      <w:spacing w:before="60"/>
      <w:ind w:left="850" w:hanging="850"/>
      <w:jc w:val="left"/>
    </w:pPr>
  </w:style>
  <w:style w:type="paragraph" w:styleId="TM4">
    <w:name w:val="toc 4"/>
    <w:basedOn w:val="Normal"/>
    <w:next w:val="Normal"/>
    <w:uiPriority w:val="39"/>
    <w:semiHidden/>
    <w:unhideWhenUsed/>
    <w:pPr>
      <w:tabs>
        <w:tab w:val="right" w:leader="dot" w:pos="9071"/>
      </w:tabs>
      <w:spacing w:before="60"/>
      <w:ind w:left="850" w:hanging="850"/>
      <w:jc w:val="left"/>
    </w:pPr>
  </w:style>
  <w:style w:type="paragraph" w:styleId="TM5">
    <w:name w:val="toc 5"/>
    <w:basedOn w:val="Normal"/>
    <w:next w:val="Normal"/>
    <w:uiPriority w:val="39"/>
    <w:semiHidden/>
    <w:unhideWhenUsed/>
    <w:pPr>
      <w:tabs>
        <w:tab w:val="right" w:leader="dot" w:pos="9071"/>
      </w:tabs>
      <w:spacing w:before="300"/>
      <w:jc w:val="left"/>
    </w:pPr>
  </w:style>
  <w:style w:type="paragraph" w:styleId="TM6">
    <w:name w:val="toc 6"/>
    <w:basedOn w:val="Normal"/>
    <w:next w:val="Normal"/>
    <w:uiPriority w:val="39"/>
    <w:semiHidden/>
    <w:unhideWhenUsed/>
    <w:pPr>
      <w:tabs>
        <w:tab w:val="right" w:leader="dot" w:pos="9071"/>
      </w:tabs>
      <w:spacing w:before="240"/>
      <w:jc w:val="left"/>
    </w:pPr>
  </w:style>
  <w:style w:type="paragraph" w:styleId="TM7">
    <w:name w:val="toc 7"/>
    <w:basedOn w:val="Normal"/>
    <w:next w:val="Normal"/>
    <w:uiPriority w:val="39"/>
    <w:semiHidden/>
    <w:unhideWhenUsed/>
    <w:pPr>
      <w:tabs>
        <w:tab w:val="right" w:leader="dot" w:pos="9071"/>
      </w:tabs>
      <w:spacing w:before="180"/>
      <w:jc w:val="left"/>
    </w:pPr>
  </w:style>
  <w:style w:type="paragraph" w:styleId="TM8">
    <w:name w:val="toc 8"/>
    <w:basedOn w:val="Normal"/>
    <w:next w:val="Normal"/>
    <w:uiPriority w:val="39"/>
    <w:semiHidden/>
    <w:unhideWhenUsed/>
    <w:pPr>
      <w:tabs>
        <w:tab w:val="right" w:leader="dot" w:pos="9071"/>
      </w:tabs>
      <w:jc w:val="left"/>
    </w:pPr>
  </w:style>
  <w:style w:type="paragraph" w:styleId="TM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7720C2"/>
    <w:pPr>
      <w:tabs>
        <w:tab w:val="center" w:pos="7285"/>
        <w:tab w:val="right" w:pos="14003"/>
      </w:tabs>
      <w:spacing w:before="0"/>
    </w:pPr>
  </w:style>
  <w:style w:type="paragraph" w:customStyle="1" w:styleId="FooterLandscape">
    <w:name w:val="FooterLandscape"/>
    <w:basedOn w:val="Normal"/>
    <w:rsid w:val="007720C2"/>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Pr>
      <w:shd w:val="clear" w:color="auto" w:fill="auto"/>
      <w:vertAlign w:val="superscript"/>
    </w:rPr>
  </w:style>
  <w:style w:type="paragraph" w:customStyle="1" w:styleId="HeaderSensitivity">
    <w:name w:val="Header Sensitivity"/>
    <w:basedOn w:val="Normal"/>
    <w:rsid w:val="007720C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7720C2"/>
    <w:pPr>
      <w:spacing w:before="0"/>
      <w:jc w:val="right"/>
    </w:pPr>
    <w:rPr>
      <w:sz w:val="28"/>
    </w:rPr>
  </w:style>
  <w:style w:type="paragraph" w:customStyle="1" w:styleId="FooterSensitivity">
    <w:name w:val="Footer Sensitivity"/>
    <w:basedOn w:val="Normal"/>
    <w:rsid w:val="007720C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Tiret5">
    <w:name w:val="Tiret 5"/>
    <w:basedOn w:val="Point5"/>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NumPar5">
    <w:name w:val="NumPar 5"/>
    <w:basedOn w:val="Normal"/>
    <w:next w:val="Text2"/>
    <w:pPr>
      <w:numPr>
        <w:ilvl w:val="4"/>
        <w:numId w:val="33"/>
      </w:numPr>
    </w:pPr>
  </w:style>
  <w:style w:type="paragraph" w:customStyle="1" w:styleId="NumPar6">
    <w:name w:val="NumPar 6"/>
    <w:basedOn w:val="Normal"/>
    <w:next w:val="Text2"/>
    <w:pPr>
      <w:numPr>
        <w:ilvl w:val="5"/>
        <w:numId w:val="33"/>
      </w:numPr>
    </w:pPr>
  </w:style>
  <w:style w:type="paragraph" w:customStyle="1" w:styleId="NumPar7">
    <w:name w:val="NumPar 7"/>
    <w:basedOn w:val="Normal"/>
    <w:next w:val="Text2"/>
    <w:pPr>
      <w:numPr>
        <w:ilvl w:val="6"/>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Titre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Policepardfaut"/>
    <w:rPr>
      <w:color w:val="0000FF"/>
      <w:shd w:val="clear" w:color="auto" w:fill="auto"/>
    </w:rPr>
  </w:style>
  <w:style w:type="character" w:customStyle="1" w:styleId="Marker1">
    <w:name w:val="Marker1"/>
    <w:basedOn w:val="Policepardfaut"/>
    <w:rPr>
      <w:color w:val="008000"/>
      <w:shd w:val="clear" w:color="auto" w:fill="auto"/>
    </w:rPr>
  </w:style>
  <w:style w:type="character" w:customStyle="1" w:styleId="Marker2">
    <w:name w:val="Marker2"/>
    <w:basedOn w:val="Policepardfau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Policepardfaut"/>
    <w:rPr>
      <w:b/>
      <w:u w:val="single"/>
      <w:shd w:val="clear" w:color="auto" w:fill="auto"/>
    </w:rPr>
  </w:style>
  <w:style w:type="character" w:customStyle="1" w:styleId="Deleted">
    <w:name w:val="Deleted"/>
    <w:basedOn w:val="Policepardfau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729158452">
      <w:bodyDiv w:val="1"/>
      <w:marLeft w:val="0"/>
      <w:marRight w:val="0"/>
      <w:marTop w:val="0"/>
      <w:marBottom w:val="0"/>
      <w:divBdr>
        <w:top w:val="none" w:sz="0" w:space="0" w:color="auto"/>
        <w:left w:val="none" w:sz="0" w:space="0" w:color="auto"/>
        <w:bottom w:val="none" w:sz="0" w:space="0" w:color="auto"/>
        <w:right w:val="none" w:sz="0" w:space="0" w:color="auto"/>
      </w:divBdr>
    </w:div>
    <w:div w:id="890461663">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232349714">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 w:id="21042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mif-isf.be/"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uropeinbelgiu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UTO/?uri=OJ:L:2019:135:TOC" TargetMode="External"/><Relationship Id="rId1" Type="http://schemas.openxmlformats.org/officeDocument/2006/relationships/hyperlink" Target="https://eur-lex.europa.eu/legal-content/EN/AUTO/?uri=OJ:L:2019:13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CD57-CD58-4958-B50E-1550973E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56D46-FC06-4E2C-B7DB-6E99CB91049A}">
  <ds:schemaRefs>
    <ds:schemaRef ds:uri="http://purl.org/dc/elements/1.1/"/>
    <ds:schemaRef ds:uri="http://schemas.microsoft.com/office/2006/metadata/properties"/>
    <ds:schemaRef ds:uri="http://purl.org/dc/terms/"/>
    <ds:schemaRef ds:uri="http://schemas.openxmlformats.org/package/2006/metadata/core-properties"/>
    <ds:schemaRef ds:uri="ac131f03-315b-4cd8-8e3a-6189969fd4f0"/>
    <ds:schemaRef ds:uri="http://schemas.microsoft.com/office/2006/documentManagement/types"/>
    <ds:schemaRef ds:uri="http://schemas.microsoft.com/office/infopath/2007/PartnerControls"/>
    <ds:schemaRef ds:uri="5843c966-cb45-4885-93fc-2ce78a94204b"/>
    <ds:schemaRef ds:uri="http://www.w3.org/XML/1998/namespace"/>
    <ds:schemaRef ds:uri="http://purl.org/dc/dcmitype/"/>
  </ds:schemaRefs>
</ds:datastoreItem>
</file>

<file path=customXml/itemProps3.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4.xml><?xml version="1.0" encoding="utf-8"?>
<ds:datastoreItem xmlns:ds="http://schemas.openxmlformats.org/officeDocument/2006/customXml" ds:itemID="{18B442D1-7781-4FE1-A3D6-A5BE4D3C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315</TotalTime>
  <Pages>14</Pages>
  <Words>4944</Words>
  <Characters>27194</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Irzycka Magdalena</cp:lastModifiedBy>
  <cp:revision>45</cp:revision>
  <cp:lastPrinted>2022-09-22T13:13:00Z</cp:lastPrinted>
  <dcterms:created xsi:type="dcterms:W3CDTF">2023-01-16T16:21:00Z</dcterms:created>
  <dcterms:modified xsi:type="dcterms:W3CDTF">2024-01-29T10:18:00Z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