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D918A" w14:textId="7FA340E1" w:rsidR="00555224" w:rsidRDefault="00726282" w:rsidP="00531164">
      <w:pPr>
        <w:pStyle w:val="Pagedecouverture"/>
        <w:rPr>
          <w:noProof/>
        </w:rPr>
      </w:pPr>
      <w:r>
        <w:rPr>
          <w:noProof/>
          <w:lang w:val="nl-BE" w:eastAsia="nl-BE"/>
        </w:rPr>
        <w:drawing>
          <wp:inline distT="0" distB="0" distL="0" distR="0" wp14:anchorId="22F6181A" wp14:editId="0DEAB15F">
            <wp:extent cx="5786120" cy="5098415"/>
            <wp:effectExtent l="0" t="0" r="0" b="0"/>
            <wp:docPr id="1" name="Image 1" descr="694ABDA6-43A7-4F90-80BE-D823AB50B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94ABDA6-43A7-4F90-80BE-D823AB50B1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86120" cy="5098415"/>
                    </a:xfrm>
                    <a:prstGeom prst="rect">
                      <a:avLst/>
                    </a:prstGeom>
                    <a:noFill/>
                    <a:ln>
                      <a:noFill/>
                    </a:ln>
                  </pic:spPr>
                </pic:pic>
              </a:graphicData>
            </a:graphic>
          </wp:inline>
        </w:drawing>
      </w:r>
    </w:p>
    <w:p w14:paraId="26652217" w14:textId="77777777" w:rsidR="00555224" w:rsidRDefault="00555224" w:rsidP="00555224">
      <w:pPr>
        <w:rPr>
          <w:noProof/>
        </w:rPr>
        <w:sectPr w:rsidR="00555224" w:rsidSect="00531164">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0"/>
          <w:cols w:space="720"/>
          <w:docGrid w:linePitch="360"/>
        </w:sectPr>
      </w:pPr>
    </w:p>
    <w:p w14:paraId="10D9A6B9" w14:textId="62DCEE50" w:rsidR="0087657F" w:rsidRPr="0087657F" w:rsidRDefault="001F5240" w:rsidP="000133CF">
      <w:pPr>
        <w:pStyle w:val="Annexetitre"/>
        <w:rPr>
          <w:noProof/>
        </w:rPr>
      </w:pPr>
      <w:r>
        <w:rPr>
          <w:noProof/>
        </w:rPr>
        <w:lastRenderedPageBreak/>
        <w:t>ANNEX</w:t>
      </w:r>
      <w:r w:rsidR="00EA2959">
        <w:rPr>
          <w:noProof/>
        </w:rPr>
        <w:br/>
      </w:r>
      <w:r w:rsidR="0087657F" w:rsidRPr="0087657F">
        <w:rPr>
          <w:noProof/>
        </w:rPr>
        <w:t xml:space="preserve">Template for the </w:t>
      </w:r>
      <w:r w:rsidR="004F00F8">
        <w:rPr>
          <w:noProof/>
        </w:rPr>
        <w:t>a</w:t>
      </w:r>
      <w:r w:rsidR="0087657F" w:rsidRPr="0087657F">
        <w:rPr>
          <w:noProof/>
        </w:rPr>
        <w:t xml:space="preserve">nnual </w:t>
      </w:r>
      <w:r w:rsidR="004F00F8">
        <w:rPr>
          <w:noProof/>
        </w:rPr>
        <w:t>p</w:t>
      </w:r>
      <w:r w:rsidR="0087657F" w:rsidRPr="0087657F">
        <w:rPr>
          <w:noProof/>
        </w:rPr>
        <w:t xml:space="preserve">erformance </w:t>
      </w:r>
      <w:r w:rsidR="004F00F8">
        <w:rPr>
          <w:noProof/>
        </w:rPr>
        <w:t>r</w:t>
      </w:r>
      <w:r w:rsidR="0087657F" w:rsidRPr="0087657F">
        <w:rPr>
          <w:noProof/>
        </w:rPr>
        <w:t xml:space="preserve">eport </w:t>
      </w:r>
      <w:r w:rsidR="00B83642">
        <w:rPr>
          <w:noProof/>
        </w:rPr>
        <w:t>on</w:t>
      </w:r>
      <w:r w:rsidR="00B83642" w:rsidRPr="0087657F">
        <w:rPr>
          <w:noProof/>
        </w:rPr>
        <w:t xml:space="preserve"> </w:t>
      </w:r>
      <w:r w:rsidR="0087657F" w:rsidRPr="0087657F">
        <w:rPr>
          <w:noProof/>
        </w:rPr>
        <w:t>the Asylum, Migration and Integration Fund</w:t>
      </w:r>
      <w:r w:rsidR="00F56532">
        <w:rPr>
          <w:noProof/>
        </w:rPr>
        <w:t xml:space="preserve"> </w:t>
      </w:r>
      <w:r w:rsidR="00F56532" w:rsidRPr="00AD502C">
        <w:rPr>
          <w:bCs/>
          <w:noProof/>
        </w:rPr>
        <w:t>by the Member States to the Commission</w:t>
      </w:r>
      <w:r w:rsidR="0087657F" w:rsidRPr="0087657F">
        <w:rPr>
          <w:noProof/>
        </w:rPr>
        <w:t>, as referred to in Article</w:t>
      </w:r>
      <w:r w:rsidR="00BA6E76">
        <w:rPr>
          <w:noProof/>
        </w:rPr>
        <w:t> </w:t>
      </w:r>
      <w:r w:rsidR="0087657F" w:rsidRPr="0087657F">
        <w:rPr>
          <w:noProof/>
        </w:rPr>
        <w:t>35 of Regulation (EU) 2021/1147</w:t>
      </w:r>
    </w:p>
    <w:p w14:paraId="08DDBCEF" w14:textId="77777777" w:rsidR="0087657F" w:rsidRDefault="0087657F" w:rsidP="0087657F">
      <w:pPr>
        <w:rPr>
          <w:noProof/>
        </w:rPr>
      </w:pPr>
    </w:p>
    <w:p w14:paraId="3DA5D95E" w14:textId="77777777" w:rsidR="0087657F" w:rsidRDefault="0087657F" w:rsidP="0087657F">
      <w:pPr>
        <w:pStyle w:val="ManualHeading1"/>
        <w:rPr>
          <w:noProof/>
        </w:rPr>
      </w:pPr>
      <w:r>
        <w:rPr>
          <w:noProof/>
        </w:rPr>
        <w:t>IDENTIFICATION</w:t>
      </w:r>
    </w:p>
    <w:tbl>
      <w:tblPr>
        <w:tblStyle w:val="Grilledetableauclaire"/>
        <w:tblW w:w="0" w:type="auto"/>
        <w:tblLook w:val="04A0" w:firstRow="1" w:lastRow="0" w:firstColumn="1" w:lastColumn="0" w:noHBand="0" w:noVBand="1"/>
      </w:tblPr>
      <w:tblGrid>
        <w:gridCol w:w="4513"/>
        <w:gridCol w:w="4550"/>
      </w:tblGrid>
      <w:tr w:rsidR="0087657F" w14:paraId="6FAF5DA3" w14:textId="77777777" w:rsidTr="00E45665">
        <w:tc>
          <w:tcPr>
            <w:tcW w:w="4644" w:type="dxa"/>
          </w:tcPr>
          <w:p w14:paraId="1E90BC00" w14:textId="77777777" w:rsidR="0087657F" w:rsidRDefault="0087657F" w:rsidP="00E45665">
            <w:pPr>
              <w:pStyle w:val="Personnequisigne"/>
              <w:rPr>
                <w:noProof/>
              </w:rPr>
            </w:pPr>
            <w:r>
              <w:rPr>
                <w:noProof/>
              </w:rPr>
              <w:t>CCI</w:t>
            </w:r>
          </w:p>
        </w:tc>
        <w:tc>
          <w:tcPr>
            <w:tcW w:w="4645" w:type="dxa"/>
          </w:tcPr>
          <w:p w14:paraId="3188FF1A" w14:textId="6FB6077E" w:rsidR="0087657F" w:rsidRDefault="00986DFD" w:rsidP="00E45665">
            <w:pPr>
              <w:pStyle w:val="Personnequisigne"/>
              <w:rPr>
                <w:noProof/>
              </w:rPr>
            </w:pPr>
            <w:r w:rsidRPr="00986DFD">
              <w:rPr>
                <w:noProof/>
              </w:rPr>
              <w:t>2021BE65AMPR001</w:t>
            </w:r>
          </w:p>
        </w:tc>
      </w:tr>
      <w:tr w:rsidR="0087657F" w14:paraId="2B12C275" w14:textId="77777777" w:rsidTr="00E45665">
        <w:tc>
          <w:tcPr>
            <w:tcW w:w="4644" w:type="dxa"/>
          </w:tcPr>
          <w:p w14:paraId="35A82436" w14:textId="77777777" w:rsidR="0087657F" w:rsidRDefault="0087657F" w:rsidP="00E45665">
            <w:pPr>
              <w:pStyle w:val="Personnequisigne"/>
              <w:rPr>
                <w:noProof/>
              </w:rPr>
            </w:pPr>
            <w:r>
              <w:rPr>
                <w:noProof/>
              </w:rPr>
              <w:t>Title</w:t>
            </w:r>
          </w:p>
        </w:tc>
        <w:tc>
          <w:tcPr>
            <w:tcW w:w="4645" w:type="dxa"/>
          </w:tcPr>
          <w:p w14:paraId="0E81F7F9" w14:textId="01BCECFB" w:rsidR="0087657F" w:rsidRDefault="00986DFD" w:rsidP="00E45665">
            <w:pPr>
              <w:pStyle w:val="Personnequisigne"/>
              <w:rPr>
                <w:noProof/>
              </w:rPr>
            </w:pPr>
            <w:r w:rsidRPr="00986DFD">
              <w:rPr>
                <w:noProof/>
              </w:rPr>
              <w:t>National Programme Belgium - AMIF</w:t>
            </w:r>
          </w:p>
        </w:tc>
      </w:tr>
      <w:tr w:rsidR="0087657F" w14:paraId="00B567CD" w14:textId="77777777" w:rsidTr="00E45665">
        <w:tc>
          <w:tcPr>
            <w:tcW w:w="4644" w:type="dxa"/>
          </w:tcPr>
          <w:p w14:paraId="09BAC26C" w14:textId="77777777" w:rsidR="0087657F" w:rsidRDefault="0087657F" w:rsidP="00E45665">
            <w:pPr>
              <w:pStyle w:val="Personnequisigne"/>
              <w:rPr>
                <w:noProof/>
              </w:rPr>
            </w:pPr>
            <w:r>
              <w:rPr>
                <w:noProof/>
              </w:rPr>
              <w:t>Version</w:t>
            </w:r>
          </w:p>
        </w:tc>
        <w:tc>
          <w:tcPr>
            <w:tcW w:w="4645" w:type="dxa"/>
          </w:tcPr>
          <w:p w14:paraId="5CC15A63" w14:textId="3EC9D634" w:rsidR="0087657F" w:rsidRDefault="00986DFD" w:rsidP="00E45665">
            <w:pPr>
              <w:pStyle w:val="Personnequisigne"/>
              <w:rPr>
                <w:noProof/>
              </w:rPr>
            </w:pPr>
            <w:r>
              <w:rPr>
                <w:noProof/>
              </w:rPr>
              <w:t>1.3</w:t>
            </w:r>
          </w:p>
        </w:tc>
      </w:tr>
      <w:tr w:rsidR="0087657F" w14:paraId="5AC4304F" w14:textId="77777777" w:rsidTr="00E45665">
        <w:tc>
          <w:tcPr>
            <w:tcW w:w="4644" w:type="dxa"/>
          </w:tcPr>
          <w:p w14:paraId="4A5BE329" w14:textId="77777777" w:rsidR="0087657F" w:rsidRDefault="0087657F" w:rsidP="00E45665">
            <w:pPr>
              <w:pStyle w:val="Personnequisigne"/>
              <w:rPr>
                <w:noProof/>
              </w:rPr>
            </w:pPr>
            <w:r>
              <w:rPr>
                <w:noProof/>
              </w:rPr>
              <w:t>Accounting year</w:t>
            </w:r>
          </w:p>
        </w:tc>
        <w:tc>
          <w:tcPr>
            <w:tcW w:w="4645" w:type="dxa"/>
          </w:tcPr>
          <w:p w14:paraId="422684DF" w14:textId="15C4B67E" w:rsidR="0087657F" w:rsidRDefault="00986DFD" w:rsidP="00986DFD">
            <w:pPr>
              <w:pStyle w:val="Personnequisigne"/>
              <w:rPr>
                <w:noProof/>
              </w:rPr>
            </w:pPr>
            <w:r w:rsidRPr="00986DFD">
              <w:rPr>
                <w:noProof/>
              </w:rPr>
              <w:t>01/0</w:t>
            </w:r>
            <w:r>
              <w:rPr>
                <w:noProof/>
              </w:rPr>
              <w:t>7</w:t>
            </w:r>
            <w:r w:rsidRPr="00986DFD">
              <w:rPr>
                <w:noProof/>
              </w:rPr>
              <w:t>/202</w:t>
            </w:r>
            <w:r>
              <w:rPr>
                <w:noProof/>
              </w:rPr>
              <w:t>2</w:t>
            </w:r>
            <w:r w:rsidRPr="00986DFD">
              <w:rPr>
                <w:noProof/>
              </w:rPr>
              <w:t xml:space="preserve"> – 30/06/202</w:t>
            </w:r>
            <w:r>
              <w:rPr>
                <w:noProof/>
              </w:rPr>
              <w:t>3</w:t>
            </w:r>
          </w:p>
        </w:tc>
      </w:tr>
      <w:tr w:rsidR="0087657F" w14:paraId="041EF0BF" w14:textId="77777777" w:rsidTr="00E45665">
        <w:tc>
          <w:tcPr>
            <w:tcW w:w="4644" w:type="dxa"/>
          </w:tcPr>
          <w:p w14:paraId="337E239D" w14:textId="77777777" w:rsidR="0087657F" w:rsidRDefault="0087657F" w:rsidP="00E45665">
            <w:pPr>
              <w:pStyle w:val="Personnequisigne"/>
              <w:rPr>
                <w:noProof/>
              </w:rPr>
            </w:pPr>
            <w:r>
              <w:rPr>
                <w:noProof/>
              </w:rPr>
              <w:t>Date of approval of the report by the monitoring committee</w:t>
            </w:r>
          </w:p>
        </w:tc>
        <w:tc>
          <w:tcPr>
            <w:tcW w:w="4645" w:type="dxa"/>
          </w:tcPr>
          <w:p w14:paraId="0928FA82" w14:textId="64981952" w:rsidR="0087657F" w:rsidRDefault="00986DFD" w:rsidP="00E45665">
            <w:pPr>
              <w:pStyle w:val="Personnequisigne"/>
              <w:rPr>
                <w:noProof/>
              </w:rPr>
            </w:pPr>
            <w:r>
              <w:rPr>
                <w:noProof/>
              </w:rPr>
              <w:t>06/02/2024</w:t>
            </w:r>
          </w:p>
        </w:tc>
      </w:tr>
    </w:tbl>
    <w:p w14:paraId="3206869C" w14:textId="241950C8" w:rsidR="0087657F" w:rsidRDefault="0005722E" w:rsidP="0005722E">
      <w:pPr>
        <w:pStyle w:val="ManualHeading1"/>
        <w:rPr>
          <w:noProof/>
        </w:rPr>
      </w:pPr>
      <w:r w:rsidRPr="0005722E">
        <w:t>1.</w:t>
      </w:r>
      <w:r w:rsidRPr="0005722E">
        <w:tab/>
      </w:r>
      <w:r w:rsidR="0087657F">
        <w:rPr>
          <w:noProof/>
        </w:rPr>
        <w:t>Performance</w:t>
      </w:r>
    </w:p>
    <w:p w14:paraId="3F66E37E" w14:textId="55A13273" w:rsidR="0087657F" w:rsidRDefault="0005722E" w:rsidP="0005722E">
      <w:pPr>
        <w:pStyle w:val="ManualHeading2"/>
        <w:rPr>
          <w:noProof/>
        </w:rPr>
      </w:pPr>
      <w:r w:rsidRPr="0005722E">
        <w:t>1.1.</w:t>
      </w:r>
      <w:r w:rsidRPr="0005722E">
        <w:tab/>
      </w:r>
      <w:r w:rsidR="0087657F">
        <w:rPr>
          <w:noProof/>
        </w:rPr>
        <w:t xml:space="preserve">Progress in implementation – </w:t>
      </w:r>
      <w:r w:rsidR="006E268C">
        <w:rPr>
          <w:noProof/>
        </w:rPr>
        <w:t>A</w:t>
      </w:r>
      <w:r w:rsidR="0087657F">
        <w:rPr>
          <w:noProof/>
        </w:rPr>
        <w:t>rticle 35(2)</w:t>
      </w:r>
      <w:r w:rsidR="006E268C">
        <w:rPr>
          <w:noProof/>
        </w:rPr>
        <w:t>,</w:t>
      </w:r>
      <w:r w:rsidR="0087657F">
        <w:rPr>
          <w:noProof/>
        </w:rPr>
        <w:t xml:space="preserve"> point (a)</w:t>
      </w:r>
      <w:r w:rsidR="006E268C">
        <w:rPr>
          <w:noProof/>
        </w:rPr>
        <w:t>,</w:t>
      </w:r>
      <w:r w:rsidR="0087657F">
        <w:rPr>
          <w:noProof/>
        </w:rPr>
        <w:t xml:space="preserve"> of Regulation </w:t>
      </w:r>
      <w:r w:rsidR="0087657F" w:rsidRPr="00933D05">
        <w:rPr>
          <w:noProof/>
        </w:rPr>
        <w:t>(EU) 2021/1147</w:t>
      </w:r>
    </w:p>
    <w:p w14:paraId="693223ED" w14:textId="336A06F6" w:rsidR="0087657F" w:rsidRPr="00C8307A" w:rsidRDefault="0087657F" w:rsidP="0087657F">
      <w:pPr>
        <w:rPr>
          <w:i/>
          <w:noProof/>
          <w:sz w:val="22"/>
        </w:rPr>
      </w:pPr>
      <w:r w:rsidRPr="00C8307A">
        <w:rPr>
          <w:noProof/>
          <w:sz w:val="22"/>
        </w:rPr>
        <w:t xml:space="preserve">For each specific objective, report on progress in </w:t>
      </w:r>
      <w:r w:rsidR="00BA6E76">
        <w:rPr>
          <w:noProof/>
          <w:sz w:val="22"/>
        </w:rPr>
        <w:t>implementing</w:t>
      </w:r>
      <w:r w:rsidRPr="00C8307A">
        <w:rPr>
          <w:noProof/>
          <w:sz w:val="22"/>
        </w:rPr>
        <w:t xml:space="preserve"> the programme and in achieving the milestones and targets set out </w:t>
      </w:r>
      <w:r w:rsidR="00971D40" w:rsidRPr="007F1A68">
        <w:rPr>
          <w:noProof/>
          <w:sz w:val="22"/>
        </w:rPr>
        <w:t xml:space="preserve">in </w:t>
      </w:r>
      <w:r w:rsidR="00F7790E" w:rsidRPr="0049785B">
        <w:rPr>
          <w:noProof/>
          <w:sz w:val="22"/>
        </w:rPr>
        <w:t>it</w:t>
      </w:r>
      <w:r w:rsidRPr="00C8307A">
        <w:rPr>
          <w:noProof/>
          <w:sz w:val="22"/>
        </w:rPr>
        <w:t>, taking into account the most recent data for the accounting year</w:t>
      </w:r>
      <w:r w:rsidR="00971D40">
        <w:rPr>
          <w:noProof/>
          <w:sz w:val="22"/>
        </w:rPr>
        <w:t>,</w:t>
      </w:r>
      <w:r w:rsidRPr="00C8307A">
        <w:rPr>
          <w:noProof/>
          <w:sz w:val="22"/>
        </w:rPr>
        <w:t xml:space="preserve"> as required under Article 42 of Regulation (EU) 2021/1060. This refers to the cumulative data provided by 31 July of the year </w:t>
      </w:r>
      <w:r w:rsidR="00F7790E" w:rsidRPr="00C8307A">
        <w:rPr>
          <w:noProof/>
          <w:sz w:val="22"/>
        </w:rPr>
        <w:t>before</w:t>
      </w:r>
      <w:r w:rsidRPr="00C8307A">
        <w:rPr>
          <w:noProof/>
          <w:sz w:val="22"/>
        </w:rPr>
        <w:t xml:space="preserve"> the </w:t>
      </w:r>
      <w:r w:rsidR="00B83642">
        <w:rPr>
          <w:noProof/>
          <w:sz w:val="22"/>
        </w:rPr>
        <w:t xml:space="preserve">year that </w:t>
      </w:r>
      <w:r w:rsidRPr="00C8307A">
        <w:rPr>
          <w:noProof/>
          <w:sz w:val="22"/>
        </w:rPr>
        <w:t>the report</w:t>
      </w:r>
      <w:r w:rsidR="00B83642">
        <w:rPr>
          <w:noProof/>
          <w:sz w:val="22"/>
        </w:rPr>
        <w:t xml:space="preserve"> is submitted</w:t>
      </w:r>
      <w:r w:rsidRPr="00C8307A">
        <w:rPr>
          <w:noProof/>
          <w:sz w:val="22"/>
        </w:rPr>
        <w:t>.</w:t>
      </w:r>
    </w:p>
    <w:p w14:paraId="43991C0E" w14:textId="14C7811D" w:rsidR="0087657F" w:rsidRPr="00C8307A" w:rsidRDefault="0087657F" w:rsidP="0087657F">
      <w:pPr>
        <w:rPr>
          <w:noProof/>
          <w:sz w:val="22"/>
        </w:rPr>
      </w:pPr>
      <w:r w:rsidRPr="00C8307A">
        <w:rPr>
          <w:noProof/>
          <w:sz w:val="22"/>
        </w:rPr>
        <w:t xml:space="preserve">Within each specific objective, </w:t>
      </w:r>
      <w:r w:rsidR="006968E5">
        <w:rPr>
          <w:noProof/>
          <w:sz w:val="22"/>
        </w:rPr>
        <w:t xml:space="preserve">the </w:t>
      </w:r>
      <w:r w:rsidRPr="00C8307A">
        <w:rPr>
          <w:noProof/>
          <w:sz w:val="22"/>
        </w:rPr>
        <w:t xml:space="preserve">information on progress should preferably be structured around the implementation measures, indicative actions and desired outcomes identified in the </w:t>
      </w:r>
      <w:r w:rsidR="006C5C3B">
        <w:rPr>
          <w:noProof/>
          <w:sz w:val="22"/>
        </w:rPr>
        <w:t>p</w:t>
      </w:r>
      <w:r w:rsidRPr="00C8307A">
        <w:rPr>
          <w:noProof/>
          <w:sz w:val="22"/>
        </w:rPr>
        <w:t xml:space="preserve">rogramme. </w:t>
      </w:r>
    </w:p>
    <w:p w14:paraId="63D62092" w14:textId="6E452E3B" w:rsidR="0087657F" w:rsidRPr="00C8307A" w:rsidRDefault="00A002B3" w:rsidP="0087657F">
      <w:pPr>
        <w:rPr>
          <w:noProof/>
          <w:sz w:val="22"/>
        </w:rPr>
      </w:pPr>
      <w:r>
        <w:rPr>
          <w:noProof/>
          <w:sz w:val="22"/>
        </w:rPr>
        <w:t>D</w:t>
      </w:r>
      <w:r w:rsidR="0087657F" w:rsidRPr="00C8307A">
        <w:rPr>
          <w:noProof/>
          <w:sz w:val="22"/>
        </w:rPr>
        <w:t xml:space="preserve">escribe </w:t>
      </w:r>
      <w:r>
        <w:rPr>
          <w:noProof/>
          <w:sz w:val="22"/>
        </w:rPr>
        <w:t xml:space="preserve">also </w:t>
      </w:r>
      <w:r w:rsidR="0087657F" w:rsidRPr="00C8307A">
        <w:rPr>
          <w:noProof/>
          <w:sz w:val="22"/>
        </w:rPr>
        <w:t xml:space="preserve">any steps taken </w:t>
      </w:r>
      <w:r w:rsidR="00112035">
        <w:rPr>
          <w:noProof/>
          <w:sz w:val="22"/>
        </w:rPr>
        <w:t xml:space="preserve">and relevant activities related to the </w:t>
      </w:r>
      <w:r w:rsidR="00DD1128">
        <w:rPr>
          <w:noProof/>
          <w:sz w:val="22"/>
        </w:rPr>
        <w:t>implement</w:t>
      </w:r>
      <w:r w:rsidR="00112035">
        <w:rPr>
          <w:noProof/>
          <w:sz w:val="22"/>
        </w:rPr>
        <w:t>ation of</w:t>
      </w:r>
      <w:r w:rsidR="00DD1128">
        <w:rPr>
          <w:noProof/>
          <w:sz w:val="22"/>
        </w:rPr>
        <w:t xml:space="preserve"> the</w:t>
      </w:r>
      <w:r w:rsidR="0087657F" w:rsidRPr="00C8307A">
        <w:rPr>
          <w:noProof/>
          <w:sz w:val="22"/>
        </w:rPr>
        <w:t xml:space="preserve"> partnership</w:t>
      </w:r>
      <w:r w:rsidR="00112035">
        <w:rPr>
          <w:noProof/>
          <w:sz w:val="22"/>
        </w:rPr>
        <w:t xml:space="preserve"> </w:t>
      </w:r>
      <w:r w:rsidR="00C7742D">
        <w:rPr>
          <w:noProof/>
          <w:sz w:val="22"/>
        </w:rPr>
        <w:t>as per Article 8(2) of Regulation (EU) 2021/1060.</w:t>
      </w:r>
    </w:p>
    <w:tbl>
      <w:tblPr>
        <w:tblStyle w:val="Grilledutableau"/>
        <w:tblW w:w="0" w:type="auto"/>
        <w:tblLook w:val="04A0" w:firstRow="1" w:lastRow="0" w:firstColumn="1" w:lastColumn="0" w:noHBand="0" w:noVBand="1"/>
      </w:tblPr>
      <w:tblGrid>
        <w:gridCol w:w="9063"/>
      </w:tblGrid>
      <w:tr w:rsidR="0087657F" w14:paraId="7BA7E78C" w14:textId="77777777" w:rsidTr="00E45665">
        <w:tc>
          <w:tcPr>
            <w:tcW w:w="9289" w:type="dxa"/>
          </w:tcPr>
          <w:p w14:paraId="42F9235F" w14:textId="4160C705" w:rsidR="00DA44D9" w:rsidRDefault="006C61E9" w:rsidP="00DA44D9">
            <w:pPr>
              <w:rPr>
                <w:noProof/>
                <w:sz w:val="22"/>
              </w:rPr>
            </w:pPr>
            <w:r w:rsidRPr="00C81E78">
              <w:rPr>
                <w:noProof/>
                <w:sz w:val="22"/>
              </w:rPr>
              <w:t>The information</w:t>
            </w:r>
            <w:r w:rsidR="00913A88">
              <w:rPr>
                <w:noProof/>
                <w:sz w:val="22"/>
              </w:rPr>
              <w:t xml:space="preserve"> below covers the period Jan.</w:t>
            </w:r>
            <w:r w:rsidRPr="00C81E78">
              <w:rPr>
                <w:noProof/>
                <w:sz w:val="22"/>
              </w:rPr>
              <w:t xml:space="preserve"> 22 till June 23. This because projects did report on their activities covering 2022 to the RA on</w:t>
            </w:r>
            <w:r w:rsidR="009D021E">
              <w:rPr>
                <w:noProof/>
                <w:sz w:val="22"/>
              </w:rPr>
              <w:t>ly for the first time in Jan.</w:t>
            </w:r>
            <w:r w:rsidRPr="00C81E78">
              <w:rPr>
                <w:noProof/>
                <w:sz w:val="22"/>
              </w:rPr>
              <w:t xml:space="preserve"> 2023. By consequence, project activities that took place before July 2023 </w:t>
            </w:r>
            <w:r w:rsidR="00BD2AB1">
              <w:rPr>
                <w:noProof/>
                <w:sz w:val="22"/>
              </w:rPr>
              <w:t xml:space="preserve">could not </w:t>
            </w:r>
            <w:r w:rsidRPr="00C81E78">
              <w:rPr>
                <w:noProof/>
                <w:sz w:val="22"/>
              </w:rPr>
              <w:t>have been reported in the A</w:t>
            </w:r>
            <w:r w:rsidR="009D021E">
              <w:rPr>
                <w:noProof/>
                <w:sz w:val="22"/>
              </w:rPr>
              <w:t xml:space="preserve">PR </w:t>
            </w:r>
            <w:r w:rsidRPr="00C81E78">
              <w:rPr>
                <w:noProof/>
                <w:sz w:val="22"/>
              </w:rPr>
              <w:t xml:space="preserve">2022. </w:t>
            </w:r>
          </w:p>
          <w:p w14:paraId="59BC3445" w14:textId="4D16D481" w:rsidR="00B97762" w:rsidRPr="00DA44D9" w:rsidRDefault="00B97762" w:rsidP="00DA44D9">
            <w:pPr>
              <w:rPr>
                <w:noProof/>
                <w:sz w:val="22"/>
                <w:u w:val="single"/>
              </w:rPr>
            </w:pPr>
            <w:r w:rsidRPr="00DA44D9">
              <w:rPr>
                <w:sz w:val="22"/>
                <w:u w:val="single"/>
                <w:lang w:val="en-US"/>
              </w:rPr>
              <w:t>SO1</w:t>
            </w:r>
            <w:r w:rsidR="009D021E">
              <w:rPr>
                <w:sz w:val="22"/>
                <w:u w:val="single"/>
                <w:lang w:val="en-US"/>
              </w:rPr>
              <w:t>:</w:t>
            </w:r>
            <w:r w:rsidR="00C81E78" w:rsidRPr="00DA44D9">
              <w:rPr>
                <w:sz w:val="22"/>
                <w:u w:val="single"/>
                <w:lang w:val="en-US"/>
              </w:rPr>
              <w:t xml:space="preserve"> </w:t>
            </w:r>
            <w:r w:rsidRPr="00DA44D9">
              <w:rPr>
                <w:sz w:val="22"/>
                <w:u w:val="single"/>
                <w:lang w:val="en-US"/>
              </w:rPr>
              <w:t>18 projects ongoing, total AM</w:t>
            </w:r>
            <w:r w:rsidR="00C81E78" w:rsidRPr="00DA44D9">
              <w:rPr>
                <w:sz w:val="22"/>
                <w:u w:val="single"/>
                <w:lang w:val="en-US"/>
              </w:rPr>
              <w:t>IF financing = 24.556.014,40 EUR</w:t>
            </w:r>
            <w:r w:rsidR="00DA44D9" w:rsidRPr="00DA44D9">
              <w:rPr>
                <w:sz w:val="22"/>
                <w:u w:val="single"/>
                <w:lang w:val="en-US"/>
              </w:rPr>
              <w:t>.</w:t>
            </w:r>
          </w:p>
          <w:p w14:paraId="26106868" w14:textId="0954857F" w:rsidR="00DA44D9" w:rsidRPr="00DA44D9" w:rsidRDefault="00A11494" w:rsidP="00DA44D9">
            <w:pPr>
              <w:rPr>
                <w:sz w:val="22"/>
                <w:lang w:val="en-US"/>
              </w:rPr>
            </w:pPr>
            <w:r w:rsidRPr="00DA44D9">
              <w:rPr>
                <w:sz w:val="22"/>
                <w:lang w:val="en-US"/>
              </w:rPr>
              <w:t xml:space="preserve">Regarding </w:t>
            </w:r>
            <w:r w:rsidRPr="00913A88">
              <w:rPr>
                <w:b/>
                <w:sz w:val="22"/>
                <w:lang w:val="en-US"/>
              </w:rPr>
              <w:t>reception</w:t>
            </w:r>
            <w:r w:rsidRPr="00DA44D9">
              <w:rPr>
                <w:sz w:val="22"/>
                <w:lang w:val="en-US"/>
              </w:rPr>
              <w:t xml:space="preserve">, </w:t>
            </w:r>
            <w:r w:rsidR="00726B92" w:rsidRPr="00DA44D9">
              <w:rPr>
                <w:sz w:val="22"/>
                <w:lang w:val="en-US"/>
              </w:rPr>
              <w:t>BE focuses not only on a qualit</w:t>
            </w:r>
            <w:r w:rsidRPr="00DA44D9">
              <w:rPr>
                <w:sz w:val="22"/>
                <w:lang w:val="en-US"/>
              </w:rPr>
              <w:t>ative</w:t>
            </w:r>
            <w:r w:rsidR="00726B92" w:rsidRPr="00DA44D9">
              <w:rPr>
                <w:sz w:val="22"/>
                <w:lang w:val="en-US"/>
              </w:rPr>
              <w:t xml:space="preserve">, flexible, and easily adaptable reception system but also on optimizing reception capacity and its ability to adapt to </w:t>
            </w:r>
            <w:r w:rsidRPr="00DA44D9">
              <w:rPr>
                <w:sz w:val="22"/>
                <w:lang w:val="en-US"/>
              </w:rPr>
              <w:t xml:space="preserve">increasing or decreasing </w:t>
            </w:r>
            <w:r w:rsidR="00726B92" w:rsidRPr="00DA44D9">
              <w:rPr>
                <w:sz w:val="22"/>
                <w:lang w:val="en-US"/>
              </w:rPr>
              <w:t xml:space="preserve"> number of arrivals . This is achieved through </w:t>
            </w:r>
            <w:r w:rsidR="00FF67C3" w:rsidRPr="00DA44D9">
              <w:rPr>
                <w:sz w:val="22"/>
                <w:lang w:val="en-US"/>
              </w:rPr>
              <w:t>2</w:t>
            </w:r>
            <w:r w:rsidR="00CB5C09">
              <w:rPr>
                <w:sz w:val="22"/>
                <w:lang w:val="en-US"/>
              </w:rPr>
              <w:t xml:space="preserve"> </w:t>
            </w:r>
            <w:r w:rsidR="00726B92" w:rsidRPr="00DA44D9">
              <w:rPr>
                <w:sz w:val="22"/>
                <w:lang w:val="en-US"/>
              </w:rPr>
              <w:t>strategies:</w:t>
            </w:r>
            <w:r w:rsidR="00C81E78" w:rsidRPr="00DA44D9">
              <w:rPr>
                <w:sz w:val="22"/>
                <w:lang w:val="en-US"/>
              </w:rPr>
              <w:t xml:space="preserve"> (1) s</w:t>
            </w:r>
            <w:r w:rsidR="00726B92" w:rsidRPr="00DA44D9">
              <w:rPr>
                <w:sz w:val="22"/>
                <w:lang w:val="en-US"/>
              </w:rPr>
              <w:t>trengthening the internal functioning of the reception agency by implementing monitoring, digitizat</w:t>
            </w:r>
            <w:r w:rsidR="00C81E78" w:rsidRPr="00DA44D9">
              <w:rPr>
                <w:sz w:val="22"/>
                <w:lang w:val="en-US"/>
              </w:rPr>
              <w:t xml:space="preserve">ion, and communication measures; and </w:t>
            </w:r>
            <w:r w:rsidR="00726B92" w:rsidRPr="00DA44D9">
              <w:rPr>
                <w:sz w:val="22"/>
                <w:lang w:val="en-US"/>
              </w:rPr>
              <w:t>(2)</w:t>
            </w:r>
            <w:r w:rsidR="00C81E78" w:rsidRPr="00DA44D9">
              <w:rPr>
                <w:sz w:val="22"/>
                <w:lang w:val="en-US"/>
              </w:rPr>
              <w:t xml:space="preserve"> p</w:t>
            </w:r>
            <w:r w:rsidR="00726B92" w:rsidRPr="00DA44D9">
              <w:rPr>
                <w:sz w:val="22"/>
                <w:lang w:val="en-US"/>
              </w:rPr>
              <w:t>romoting national and international cooperation with organizations active in reception, procedural processes, or the accompaniment of applicants for international protection.</w:t>
            </w:r>
            <w:r w:rsidR="00C81E78" w:rsidRPr="00DA44D9">
              <w:rPr>
                <w:sz w:val="22"/>
                <w:lang w:val="en-US"/>
              </w:rPr>
              <w:t xml:space="preserve"> </w:t>
            </w:r>
            <w:r w:rsidR="00726B92" w:rsidRPr="00DA44D9">
              <w:rPr>
                <w:sz w:val="22"/>
                <w:lang w:val="en-US"/>
              </w:rPr>
              <w:t xml:space="preserve">Additionally, various projects have been initiated to enhance the well-being and autonomy of residents. These initiatives include a focus on communication with applicants, active participation in society, and providing a safe living environment. BE also pays attention to the well-being of the LGBTQ community within the reception centers </w:t>
            </w:r>
            <w:r w:rsidR="00CB5C09">
              <w:rPr>
                <w:sz w:val="22"/>
                <w:lang w:val="en-US"/>
              </w:rPr>
              <w:t>via</w:t>
            </w:r>
            <w:r w:rsidR="00726B92" w:rsidRPr="00DA44D9">
              <w:rPr>
                <w:sz w:val="22"/>
                <w:lang w:val="en-US"/>
              </w:rPr>
              <w:t xml:space="preserve"> awareness campaigns and training programs.</w:t>
            </w:r>
          </w:p>
          <w:p w14:paraId="0851BDE7" w14:textId="4C7F9B95" w:rsidR="000F07D5" w:rsidRPr="005E186D" w:rsidRDefault="00A11494" w:rsidP="005210C0">
            <w:pPr>
              <w:rPr>
                <w:sz w:val="22"/>
                <w:lang w:val="fr-BE"/>
              </w:rPr>
            </w:pPr>
            <w:r w:rsidRPr="00DA44D9">
              <w:rPr>
                <w:sz w:val="22"/>
                <w:lang w:val="fr-BE"/>
              </w:rPr>
              <w:t>P</w:t>
            </w:r>
            <w:r w:rsidR="00DA44D9">
              <w:rPr>
                <w:sz w:val="22"/>
                <w:lang w:val="fr-BE"/>
              </w:rPr>
              <w:t>ar</w:t>
            </w:r>
            <w:r w:rsidRPr="00DA44D9">
              <w:rPr>
                <w:sz w:val="22"/>
                <w:lang w:val="fr-BE"/>
              </w:rPr>
              <w:t xml:space="preserve"> rapport à </w:t>
            </w:r>
            <w:r w:rsidRPr="00913A88">
              <w:rPr>
                <w:b/>
                <w:sz w:val="22"/>
                <w:lang w:val="fr-BE"/>
              </w:rPr>
              <w:t>l’asile</w:t>
            </w:r>
            <w:r w:rsidRPr="00DA44D9">
              <w:rPr>
                <w:sz w:val="22"/>
                <w:lang w:val="fr-BE"/>
              </w:rPr>
              <w:t xml:space="preserve">, </w:t>
            </w:r>
            <w:r w:rsidR="00C1631E">
              <w:rPr>
                <w:sz w:val="22"/>
                <w:lang w:val="fr-BE"/>
              </w:rPr>
              <w:t>a</w:t>
            </w:r>
            <w:r w:rsidR="00C1631E" w:rsidRPr="005E186D">
              <w:rPr>
                <w:sz w:val="22"/>
                <w:lang w:val="fr-BE"/>
              </w:rPr>
              <w:t>u niveau de la procédure d’asile</w:t>
            </w:r>
            <w:r w:rsidR="00C1631E">
              <w:rPr>
                <w:sz w:val="22"/>
                <w:lang w:val="fr-BE"/>
              </w:rPr>
              <w:t xml:space="preserve">, </w:t>
            </w:r>
            <w:r w:rsidR="00C1631E" w:rsidRPr="00DA44D9">
              <w:rPr>
                <w:sz w:val="22"/>
                <w:lang w:val="fr-BE"/>
              </w:rPr>
              <w:t xml:space="preserve"> </w:t>
            </w:r>
            <w:r w:rsidR="00DE3E2D" w:rsidRPr="00DA44D9">
              <w:rPr>
                <w:sz w:val="22"/>
                <w:lang w:val="fr-BE"/>
              </w:rPr>
              <w:t>BE se concentre sur l'améliorat</w:t>
            </w:r>
            <w:r w:rsidR="008953F7">
              <w:rPr>
                <w:sz w:val="22"/>
                <w:lang w:val="fr-BE"/>
              </w:rPr>
              <w:t>ion de la qualité de l'accueil d</w:t>
            </w:r>
            <w:r w:rsidR="00DE3E2D" w:rsidRPr="00DA44D9">
              <w:rPr>
                <w:sz w:val="22"/>
                <w:lang w:val="fr-BE"/>
              </w:rPr>
              <w:t>es personnes vulnérables</w:t>
            </w:r>
            <w:r w:rsidR="00416104">
              <w:rPr>
                <w:sz w:val="22"/>
                <w:lang w:val="fr-BE"/>
              </w:rPr>
              <w:t xml:space="preserve">, surtout des </w:t>
            </w:r>
            <w:r w:rsidR="006F040F" w:rsidRPr="00DA44D9">
              <w:rPr>
                <w:sz w:val="22"/>
                <w:lang w:val="fr-BE"/>
              </w:rPr>
              <w:t>mineurs non accompagn</w:t>
            </w:r>
            <w:r w:rsidR="00DA44D9" w:rsidRPr="00DA44D9">
              <w:rPr>
                <w:sz w:val="22"/>
                <w:lang w:val="fr-BE"/>
              </w:rPr>
              <w:t>és</w:t>
            </w:r>
            <w:r w:rsidR="00DE3E2D" w:rsidRPr="00DA44D9">
              <w:rPr>
                <w:sz w:val="22"/>
                <w:lang w:val="fr-BE"/>
              </w:rPr>
              <w:t>.</w:t>
            </w:r>
            <w:r w:rsidR="00C1631E">
              <w:rPr>
                <w:sz w:val="22"/>
                <w:lang w:val="fr-BE"/>
              </w:rPr>
              <w:t xml:space="preserve"> Ainsi, </w:t>
            </w:r>
            <w:r w:rsidR="00416104">
              <w:rPr>
                <w:sz w:val="22"/>
                <w:lang w:val="fr-BE"/>
              </w:rPr>
              <w:t>plusieurs</w:t>
            </w:r>
            <w:r w:rsidR="00177A66" w:rsidRPr="005E186D">
              <w:rPr>
                <w:sz w:val="22"/>
                <w:lang w:val="fr-BE"/>
              </w:rPr>
              <w:t xml:space="preserve"> formations ont été organisées </w:t>
            </w:r>
            <w:r w:rsidR="00416104">
              <w:rPr>
                <w:sz w:val="22"/>
                <w:lang w:val="fr-BE"/>
              </w:rPr>
              <w:t>pour les</w:t>
            </w:r>
            <w:r w:rsidR="008749EF" w:rsidRPr="005E186D">
              <w:rPr>
                <w:sz w:val="22"/>
                <w:lang w:val="fr-BE"/>
              </w:rPr>
              <w:t xml:space="preserve"> interprètes </w:t>
            </w:r>
            <w:r w:rsidR="00177A66" w:rsidRPr="005E186D">
              <w:rPr>
                <w:sz w:val="22"/>
                <w:lang w:val="fr-BE"/>
              </w:rPr>
              <w:t>qui participent à des interviews</w:t>
            </w:r>
            <w:r w:rsidR="00727E87" w:rsidRPr="005E186D">
              <w:rPr>
                <w:sz w:val="22"/>
                <w:lang w:val="fr-BE"/>
              </w:rPr>
              <w:t xml:space="preserve"> dans le contexte de l’asile</w:t>
            </w:r>
            <w:r w:rsidR="00177A66" w:rsidRPr="005E186D">
              <w:rPr>
                <w:sz w:val="22"/>
                <w:lang w:val="fr-BE"/>
              </w:rPr>
              <w:t xml:space="preserve"> </w:t>
            </w:r>
            <w:proofErr w:type="spellStart"/>
            <w:r w:rsidR="00177A66" w:rsidRPr="005E186D">
              <w:rPr>
                <w:sz w:val="22"/>
                <w:lang w:val="fr-BE"/>
              </w:rPr>
              <w:t>implicant</w:t>
            </w:r>
            <w:proofErr w:type="spellEnd"/>
            <w:r w:rsidR="00177A66" w:rsidRPr="005E186D">
              <w:rPr>
                <w:sz w:val="22"/>
                <w:lang w:val="fr-BE"/>
              </w:rPr>
              <w:t xml:space="preserve"> des mineurs.</w:t>
            </w:r>
            <w:r w:rsidR="008749EF" w:rsidRPr="005E186D">
              <w:rPr>
                <w:sz w:val="22"/>
                <w:lang w:val="fr-BE"/>
              </w:rPr>
              <w:t xml:space="preserve"> </w:t>
            </w:r>
            <w:r w:rsidR="004C55D8">
              <w:rPr>
                <w:sz w:val="22"/>
                <w:lang w:val="fr-BE"/>
              </w:rPr>
              <w:t>S’agissant de</w:t>
            </w:r>
            <w:r w:rsidR="00DA44D9" w:rsidRPr="00DA44D9">
              <w:rPr>
                <w:sz w:val="22"/>
                <w:lang w:val="fr-BE"/>
              </w:rPr>
              <w:t xml:space="preserve"> l’amé</w:t>
            </w:r>
            <w:r w:rsidR="00DA44D9">
              <w:rPr>
                <w:sz w:val="22"/>
                <w:lang w:val="fr-BE"/>
              </w:rPr>
              <w:t>lioration de</w:t>
            </w:r>
            <w:r w:rsidR="00935EA5" w:rsidRPr="00DA44D9">
              <w:rPr>
                <w:sz w:val="22"/>
                <w:lang w:val="fr-BE"/>
              </w:rPr>
              <w:t xml:space="preserve"> la qualité et l’</w:t>
            </w:r>
            <w:r w:rsidR="004C55D8">
              <w:rPr>
                <w:sz w:val="22"/>
                <w:lang w:val="fr-BE"/>
              </w:rPr>
              <w:t>e</w:t>
            </w:r>
            <w:r w:rsidR="00935EA5" w:rsidRPr="00DA44D9">
              <w:rPr>
                <w:sz w:val="22"/>
                <w:lang w:val="fr-BE"/>
              </w:rPr>
              <w:t xml:space="preserve">fficacité du processus </w:t>
            </w:r>
            <w:r w:rsidR="001675CD" w:rsidRPr="00DA44D9">
              <w:rPr>
                <w:sz w:val="22"/>
                <w:lang w:val="fr-BE"/>
              </w:rPr>
              <w:t>d’asile</w:t>
            </w:r>
            <w:r w:rsidR="00DA44D9">
              <w:rPr>
                <w:sz w:val="22"/>
                <w:lang w:val="fr-BE"/>
              </w:rPr>
              <w:t>, l</w:t>
            </w:r>
            <w:r w:rsidR="005C782B" w:rsidRPr="00DA44D9">
              <w:rPr>
                <w:sz w:val="22"/>
                <w:lang w:val="fr-BE"/>
              </w:rPr>
              <w:t>es préparatifs pour optimiser le processus de recrutement</w:t>
            </w:r>
            <w:r w:rsidR="00EF74B6" w:rsidRPr="00DA44D9">
              <w:rPr>
                <w:sz w:val="22"/>
                <w:lang w:val="fr-BE"/>
              </w:rPr>
              <w:t xml:space="preserve"> des interprètes</w:t>
            </w:r>
            <w:r w:rsidR="00DA44D9">
              <w:rPr>
                <w:sz w:val="22"/>
                <w:lang w:val="fr-BE"/>
              </w:rPr>
              <w:t xml:space="preserve"> est terminé</w:t>
            </w:r>
            <w:r w:rsidR="00727E87" w:rsidRPr="00DA44D9">
              <w:rPr>
                <w:sz w:val="22"/>
                <w:lang w:val="fr-BE"/>
              </w:rPr>
              <w:t xml:space="preserve">. </w:t>
            </w:r>
            <w:r w:rsidR="004F3047" w:rsidRPr="00DA44D9">
              <w:rPr>
                <w:sz w:val="22"/>
                <w:lang w:val="fr-BE"/>
              </w:rPr>
              <w:t xml:space="preserve">D’autre part, des efforts sont mis en œuvre concernant le </w:t>
            </w:r>
            <w:r w:rsidR="00DA44D9">
              <w:rPr>
                <w:sz w:val="22"/>
                <w:lang w:val="fr-BE"/>
              </w:rPr>
              <w:t>traitement des dossiers d’asile, avec un accent sur</w:t>
            </w:r>
            <w:r w:rsidR="00AD2DDD" w:rsidRPr="00DA44D9">
              <w:rPr>
                <w:sz w:val="22"/>
                <w:lang w:val="fr-BE"/>
              </w:rPr>
              <w:t xml:space="preserve"> </w:t>
            </w:r>
            <w:r w:rsidR="006848B2" w:rsidRPr="00DA44D9">
              <w:rPr>
                <w:sz w:val="22"/>
                <w:lang w:val="fr-BE"/>
              </w:rPr>
              <w:t>des investissements sur la digitalisation</w:t>
            </w:r>
            <w:r w:rsidR="00DA44D9">
              <w:rPr>
                <w:sz w:val="22"/>
                <w:lang w:val="fr-BE"/>
              </w:rPr>
              <w:t xml:space="preserve">. </w:t>
            </w:r>
            <w:r w:rsidR="009C4748">
              <w:rPr>
                <w:sz w:val="22"/>
                <w:lang w:val="fr-BE"/>
              </w:rPr>
              <w:t>U</w:t>
            </w:r>
            <w:r w:rsidR="009C4748" w:rsidRPr="009C4748">
              <w:rPr>
                <w:sz w:val="22"/>
                <w:lang w:val="fr-BE"/>
              </w:rPr>
              <w:t xml:space="preserve">ne plateforme de gestion connaissance a été lancée. Elle porte sur la communication, le partage de connaissance et la collaboration virtuelle au sein de </w:t>
            </w:r>
            <w:r w:rsidR="009C4748" w:rsidRPr="0093289B">
              <w:rPr>
                <w:sz w:val="22"/>
                <w:lang w:val="fr-BE"/>
              </w:rPr>
              <w:lastRenderedPageBreak/>
              <w:t>l’organisation.</w:t>
            </w:r>
            <w:r w:rsidR="00416104" w:rsidRPr="0093289B">
              <w:rPr>
                <w:sz w:val="22"/>
                <w:lang w:val="fr-BE"/>
              </w:rPr>
              <w:t xml:space="preserve"> Enfin, des développements</w:t>
            </w:r>
            <w:r w:rsidR="00416104" w:rsidRPr="00416104">
              <w:rPr>
                <w:sz w:val="22"/>
                <w:lang w:val="fr-BE"/>
              </w:rPr>
              <w:t xml:space="preserve"> du matériel biométrique (</w:t>
            </w:r>
            <w:proofErr w:type="spellStart"/>
            <w:r w:rsidR="00416104" w:rsidRPr="00416104">
              <w:rPr>
                <w:sz w:val="22"/>
                <w:lang w:val="fr-BE"/>
              </w:rPr>
              <w:t>empruntes</w:t>
            </w:r>
            <w:proofErr w:type="spellEnd"/>
            <w:r w:rsidR="00416104" w:rsidRPr="00416104">
              <w:rPr>
                <w:sz w:val="22"/>
                <w:lang w:val="fr-BE"/>
              </w:rPr>
              <w:t xml:space="preserve"> digitales) ont été initiés, ceux-ci notamment dans le but de faciliter/automatiser les échanges d’information</w:t>
            </w:r>
            <w:r w:rsidR="00031B2E">
              <w:rPr>
                <w:sz w:val="22"/>
                <w:lang w:val="fr-BE"/>
              </w:rPr>
              <w:t>s</w:t>
            </w:r>
            <w:r w:rsidR="00416104" w:rsidRPr="00416104">
              <w:rPr>
                <w:sz w:val="22"/>
                <w:lang w:val="fr-BE"/>
              </w:rPr>
              <w:t xml:space="preserve"> biométriques entre l’Office des étrangers et la Police fédérale</w:t>
            </w:r>
            <w:r w:rsidR="00416104">
              <w:rPr>
                <w:sz w:val="22"/>
                <w:lang w:val="fr-BE"/>
              </w:rPr>
              <w:t>.</w:t>
            </w:r>
          </w:p>
          <w:p w14:paraId="011F7061" w14:textId="0ED5F7A8" w:rsidR="000F07D5" w:rsidRPr="00913A88" w:rsidRDefault="00222919" w:rsidP="00B553AD">
            <w:pPr>
              <w:pStyle w:val="Institutionquisigne"/>
              <w:spacing w:before="0"/>
              <w:rPr>
                <w:i w:val="0"/>
                <w:sz w:val="22"/>
                <w:u w:val="single"/>
              </w:rPr>
            </w:pPr>
            <w:r w:rsidRPr="005210C0">
              <w:rPr>
                <w:i w:val="0"/>
                <w:sz w:val="22"/>
                <w:u w:val="single"/>
                <w:lang w:val="en-US"/>
              </w:rPr>
              <w:t>SO2</w:t>
            </w:r>
            <w:r w:rsidR="009D021E">
              <w:rPr>
                <w:i w:val="0"/>
                <w:sz w:val="22"/>
                <w:u w:val="single"/>
                <w:lang w:val="en-US"/>
              </w:rPr>
              <w:t>:</w:t>
            </w:r>
            <w:r w:rsidRPr="005210C0">
              <w:rPr>
                <w:i w:val="0"/>
                <w:sz w:val="22"/>
                <w:u w:val="single"/>
                <w:lang w:val="en-US"/>
              </w:rPr>
              <w:t xml:space="preserve"> </w:t>
            </w:r>
            <w:r w:rsidR="00B553AD" w:rsidRPr="005210C0">
              <w:rPr>
                <w:i w:val="0"/>
                <w:sz w:val="22"/>
                <w:u w:val="single"/>
                <w:lang w:val="en-US"/>
              </w:rPr>
              <w:t>14</w:t>
            </w:r>
            <w:r w:rsidRPr="005210C0">
              <w:rPr>
                <w:i w:val="0"/>
                <w:sz w:val="22"/>
                <w:u w:val="single"/>
                <w:lang w:val="en-US"/>
              </w:rPr>
              <w:t xml:space="preserve"> projects</w:t>
            </w:r>
            <w:r w:rsidR="009D021E">
              <w:rPr>
                <w:i w:val="0"/>
                <w:sz w:val="22"/>
                <w:u w:val="single"/>
                <w:lang w:val="en-US"/>
              </w:rPr>
              <w:t xml:space="preserve"> are ongoing at federal level</w:t>
            </w:r>
            <w:r w:rsidR="003C2195" w:rsidRPr="005210C0">
              <w:rPr>
                <w:i w:val="0"/>
                <w:sz w:val="22"/>
                <w:u w:val="single"/>
                <w:lang w:val="en-US"/>
              </w:rPr>
              <w:t xml:space="preserve"> (including 1 SA</w:t>
            </w:r>
            <w:r w:rsidR="003C2195" w:rsidRPr="00913A88">
              <w:rPr>
                <w:i w:val="0"/>
                <w:sz w:val="22"/>
                <w:u w:val="single"/>
                <w:lang w:val="en-US"/>
              </w:rPr>
              <w:t>)</w:t>
            </w:r>
            <w:r w:rsidRPr="00913A88">
              <w:rPr>
                <w:i w:val="0"/>
                <w:sz w:val="22"/>
                <w:u w:val="single"/>
                <w:lang w:val="en-US"/>
              </w:rPr>
              <w:t xml:space="preserve">, total AMIF financing = </w:t>
            </w:r>
            <w:r w:rsidR="00F0463A" w:rsidRPr="00913A88">
              <w:rPr>
                <w:i w:val="0"/>
                <w:sz w:val="22"/>
                <w:u w:val="single"/>
                <w:lang w:val="en-US"/>
              </w:rPr>
              <w:t>5.322.058,29 </w:t>
            </w:r>
            <w:r w:rsidR="005210C0" w:rsidRPr="00913A88">
              <w:rPr>
                <w:i w:val="0"/>
                <w:sz w:val="22"/>
                <w:u w:val="single"/>
                <w:lang w:val="en-US"/>
              </w:rPr>
              <w:t>EUR</w:t>
            </w:r>
            <w:r w:rsidR="009D021E">
              <w:rPr>
                <w:i w:val="0"/>
                <w:sz w:val="22"/>
                <w:u w:val="single"/>
                <w:lang w:val="en-US"/>
              </w:rPr>
              <w:t>. A</w:t>
            </w:r>
            <w:r w:rsidR="00913A88" w:rsidRPr="00913A88">
              <w:rPr>
                <w:i w:val="0"/>
                <w:sz w:val="22"/>
                <w:u w:val="single"/>
              </w:rPr>
              <w:t xml:space="preserve">t Flemish level 10 projects were selected, </w:t>
            </w:r>
            <w:r w:rsidR="00913A88" w:rsidRPr="00913A88">
              <w:rPr>
                <w:i w:val="0"/>
                <w:sz w:val="22"/>
                <w:u w:val="single"/>
                <w:lang w:val="en-US"/>
              </w:rPr>
              <w:t>total AMIF financing = 2.403.707,54 EUR, in Wallonia / Brussels</w:t>
            </w:r>
            <w:r w:rsidR="009D021E">
              <w:rPr>
                <w:i w:val="0"/>
                <w:sz w:val="22"/>
                <w:u w:val="single"/>
                <w:lang w:val="en-US"/>
              </w:rPr>
              <w:t xml:space="preserve"> 45 </w:t>
            </w:r>
            <w:r w:rsidR="00913A88" w:rsidRPr="00913A88">
              <w:rPr>
                <w:i w:val="0"/>
                <w:sz w:val="22"/>
                <w:u w:val="single"/>
              </w:rPr>
              <w:t xml:space="preserve">projects were selected, </w:t>
            </w:r>
            <w:r w:rsidR="00913A88" w:rsidRPr="00913A88">
              <w:rPr>
                <w:i w:val="0"/>
                <w:sz w:val="22"/>
                <w:u w:val="single"/>
                <w:lang w:val="en-US"/>
              </w:rPr>
              <w:t>total AMIF financing = 23.981.392 EUR.</w:t>
            </w:r>
            <w:r w:rsidR="00913A88">
              <w:rPr>
                <w:i w:val="0"/>
                <w:sz w:val="22"/>
                <w:u w:val="single"/>
                <w:lang w:val="en-US"/>
              </w:rPr>
              <w:t xml:space="preserve"> </w:t>
            </w:r>
          </w:p>
          <w:p w14:paraId="0E294211" w14:textId="77777777" w:rsidR="00B553AD" w:rsidRPr="00C81E78" w:rsidRDefault="00B553AD" w:rsidP="00B553AD">
            <w:pPr>
              <w:pStyle w:val="Personnequisigne"/>
              <w:rPr>
                <w:sz w:val="22"/>
                <w:lang w:val="en-US"/>
              </w:rPr>
            </w:pPr>
          </w:p>
          <w:p w14:paraId="05B33D5C" w14:textId="009FBD9E" w:rsidR="005210C0" w:rsidRDefault="008A5537" w:rsidP="005210C0">
            <w:pPr>
              <w:pStyle w:val="Personnequisigne"/>
              <w:jc w:val="both"/>
              <w:rPr>
                <w:i w:val="0"/>
                <w:sz w:val="22"/>
                <w:lang w:val="en-US"/>
              </w:rPr>
            </w:pPr>
            <w:r w:rsidRPr="005210C0">
              <w:rPr>
                <w:i w:val="0"/>
                <w:sz w:val="22"/>
                <w:lang w:val="en-US"/>
              </w:rPr>
              <w:t xml:space="preserve">With regard to </w:t>
            </w:r>
            <w:r w:rsidRPr="00913A88">
              <w:rPr>
                <w:b/>
                <w:i w:val="0"/>
                <w:sz w:val="22"/>
                <w:lang w:val="en-US"/>
              </w:rPr>
              <w:t>legal migration</w:t>
            </w:r>
            <w:r w:rsidRPr="005210C0">
              <w:rPr>
                <w:i w:val="0"/>
                <w:sz w:val="22"/>
                <w:lang w:val="en-US"/>
              </w:rPr>
              <w:t xml:space="preserve"> projects, focus was set upon digitalization and development of efficient procedures to ensure </w:t>
            </w:r>
            <w:r w:rsidR="00031B2E">
              <w:rPr>
                <w:i w:val="0"/>
                <w:sz w:val="22"/>
                <w:lang w:val="en-US"/>
              </w:rPr>
              <w:t>an improvement</w:t>
            </w:r>
            <w:r w:rsidRPr="005210C0">
              <w:rPr>
                <w:i w:val="0"/>
                <w:sz w:val="22"/>
                <w:lang w:val="en-US"/>
              </w:rPr>
              <w:t xml:space="preserve"> of information management among the Belgian Immigration </w:t>
            </w:r>
            <w:r w:rsidR="005210C0" w:rsidRPr="005210C0">
              <w:rPr>
                <w:i w:val="0"/>
                <w:sz w:val="22"/>
                <w:lang w:val="en-US"/>
              </w:rPr>
              <w:t xml:space="preserve">office. BE </w:t>
            </w:r>
            <w:r w:rsidRPr="005210C0">
              <w:rPr>
                <w:i w:val="0"/>
                <w:sz w:val="22"/>
                <w:lang w:val="en-US"/>
              </w:rPr>
              <w:t>also engaged in a program of pilot projects promoting circular migration with partner countries outside the EU</w:t>
            </w:r>
            <w:r w:rsidR="00E32F27">
              <w:rPr>
                <w:i w:val="0"/>
                <w:sz w:val="22"/>
                <w:lang w:val="en-US"/>
              </w:rPr>
              <w:t xml:space="preserve"> (p</w:t>
            </w:r>
            <w:r w:rsidR="005210C0">
              <w:rPr>
                <w:i w:val="0"/>
                <w:sz w:val="22"/>
                <w:lang w:val="en-US"/>
              </w:rPr>
              <w:t xml:space="preserve">artners are </w:t>
            </w:r>
            <w:r w:rsidR="00E32F27">
              <w:rPr>
                <w:i w:val="0"/>
                <w:sz w:val="22"/>
                <w:lang w:val="en-US"/>
              </w:rPr>
              <w:t>being selected)</w:t>
            </w:r>
            <w:r w:rsidR="005210C0">
              <w:rPr>
                <w:i w:val="0"/>
                <w:sz w:val="22"/>
                <w:lang w:val="en-US"/>
              </w:rPr>
              <w:t>.</w:t>
            </w:r>
            <w:r w:rsidR="005210C0" w:rsidRPr="005210C0">
              <w:rPr>
                <w:i w:val="0"/>
                <w:sz w:val="22"/>
                <w:lang w:val="en-US"/>
              </w:rPr>
              <w:t xml:space="preserve"> </w:t>
            </w:r>
            <w:r w:rsidRPr="005210C0">
              <w:rPr>
                <w:i w:val="0"/>
                <w:sz w:val="22"/>
                <w:lang w:val="en-US"/>
              </w:rPr>
              <w:t>Another action is</w:t>
            </w:r>
            <w:r w:rsidR="00E32F27">
              <w:rPr>
                <w:i w:val="0"/>
                <w:sz w:val="22"/>
                <w:lang w:val="en-US"/>
              </w:rPr>
              <w:t xml:space="preserve"> to </w:t>
            </w:r>
            <w:r w:rsidR="00EA62B2">
              <w:rPr>
                <w:i w:val="0"/>
                <w:sz w:val="22"/>
                <w:lang w:val="en-US"/>
              </w:rPr>
              <w:t>give</w:t>
            </w:r>
            <w:r w:rsidRPr="005210C0">
              <w:rPr>
                <w:i w:val="0"/>
                <w:sz w:val="22"/>
                <w:lang w:val="en-US"/>
              </w:rPr>
              <w:t xml:space="preserve"> special attention to vulnerable persons, especially adult third country national female victims of trafficking</w:t>
            </w:r>
            <w:r w:rsidR="003C2195" w:rsidRPr="005210C0">
              <w:rPr>
                <w:i w:val="0"/>
                <w:sz w:val="22"/>
                <w:lang w:val="en-US"/>
              </w:rPr>
              <w:t xml:space="preserve"> in human beings</w:t>
            </w:r>
            <w:r w:rsidRPr="005210C0">
              <w:rPr>
                <w:i w:val="0"/>
                <w:sz w:val="22"/>
                <w:lang w:val="en-US"/>
              </w:rPr>
              <w:t xml:space="preserve">. </w:t>
            </w:r>
          </w:p>
          <w:p w14:paraId="1042F08E" w14:textId="77777777" w:rsidR="005210C0" w:rsidRDefault="005210C0" w:rsidP="005210C0">
            <w:pPr>
              <w:pStyle w:val="Personnequisigne"/>
              <w:jc w:val="both"/>
              <w:rPr>
                <w:i w:val="0"/>
                <w:sz w:val="22"/>
                <w:lang w:val="en-US"/>
              </w:rPr>
            </w:pPr>
          </w:p>
          <w:p w14:paraId="14DEFFB9" w14:textId="2EFAF087" w:rsidR="005210C0" w:rsidRDefault="00662AC6" w:rsidP="005210C0">
            <w:pPr>
              <w:pStyle w:val="Personnequisigne"/>
              <w:jc w:val="both"/>
              <w:rPr>
                <w:i w:val="0"/>
                <w:sz w:val="22"/>
                <w:lang w:val="en-US"/>
              </w:rPr>
            </w:pPr>
            <w:r w:rsidRPr="005210C0">
              <w:rPr>
                <w:i w:val="0"/>
                <w:sz w:val="22"/>
                <w:lang w:val="en-US"/>
              </w:rPr>
              <w:t xml:space="preserve">With regard to </w:t>
            </w:r>
            <w:r w:rsidRPr="00913A88">
              <w:rPr>
                <w:b/>
                <w:i w:val="0"/>
                <w:sz w:val="22"/>
                <w:lang w:val="en-US"/>
              </w:rPr>
              <w:t>integration project</w:t>
            </w:r>
            <w:r w:rsidR="00913A88" w:rsidRPr="00913A88">
              <w:rPr>
                <w:b/>
                <w:i w:val="0"/>
                <w:sz w:val="22"/>
                <w:lang w:val="en-US"/>
              </w:rPr>
              <w:t>s</w:t>
            </w:r>
            <w:r w:rsidRPr="005210C0">
              <w:rPr>
                <w:i w:val="0"/>
                <w:sz w:val="22"/>
                <w:lang w:val="en-US"/>
              </w:rPr>
              <w:t>, it must be noted that most of the budget is delegated to 2 intermediate bodies: Flanders &amp; Wallonia (43,3% each).</w:t>
            </w:r>
            <w:r w:rsidR="005210C0">
              <w:rPr>
                <w:i w:val="0"/>
                <w:sz w:val="22"/>
                <w:lang w:val="en-US"/>
              </w:rPr>
              <w:t xml:space="preserve"> The Federal level manages the rest, of which 0,7% is foreseen for the German Speaking Community. </w:t>
            </w:r>
          </w:p>
          <w:p w14:paraId="25DBD190" w14:textId="7B0BF5BB" w:rsidR="005210C0" w:rsidRPr="005210C0" w:rsidRDefault="00662AC6" w:rsidP="005210C0">
            <w:pPr>
              <w:pStyle w:val="Personnequisigne"/>
              <w:jc w:val="both"/>
              <w:rPr>
                <w:i w:val="0"/>
                <w:sz w:val="22"/>
                <w:lang w:val="en-US"/>
              </w:rPr>
            </w:pPr>
            <w:r w:rsidRPr="005210C0">
              <w:rPr>
                <w:i w:val="0"/>
                <w:sz w:val="22"/>
                <w:lang w:val="en-US"/>
              </w:rPr>
              <w:t xml:space="preserve"> </w:t>
            </w:r>
          </w:p>
          <w:p w14:paraId="4C633190" w14:textId="200C0C8B" w:rsidR="005210C0" w:rsidRDefault="00662AC6" w:rsidP="005210C0">
            <w:pPr>
              <w:pStyle w:val="Personnequisigne"/>
              <w:jc w:val="both"/>
              <w:rPr>
                <w:i w:val="0"/>
                <w:sz w:val="22"/>
                <w:lang w:val="en-US"/>
              </w:rPr>
            </w:pPr>
            <w:r w:rsidRPr="005210C0">
              <w:rPr>
                <w:i w:val="0"/>
                <w:sz w:val="22"/>
                <w:lang w:val="en-US"/>
              </w:rPr>
              <w:t>On Federal level focus is to strengthen the social activa</w:t>
            </w:r>
            <w:r w:rsidR="005210C0">
              <w:rPr>
                <w:i w:val="0"/>
                <w:sz w:val="22"/>
                <w:lang w:val="en-US"/>
              </w:rPr>
              <w:t>tion of third-country nationals:</w:t>
            </w:r>
            <w:r w:rsidRPr="005210C0">
              <w:rPr>
                <w:i w:val="0"/>
                <w:sz w:val="22"/>
                <w:lang w:val="en-US"/>
              </w:rPr>
              <w:t xml:space="preserve"> </w:t>
            </w:r>
            <w:r w:rsidR="005210C0">
              <w:rPr>
                <w:i w:val="0"/>
                <w:sz w:val="22"/>
                <w:lang w:val="en-US"/>
              </w:rPr>
              <w:t>i</w:t>
            </w:r>
            <w:r w:rsidRPr="005210C0">
              <w:rPr>
                <w:i w:val="0"/>
                <w:sz w:val="22"/>
                <w:lang w:val="en-US"/>
              </w:rPr>
              <w:t xml:space="preserve">ntensive social activation trajectories are proposed by local public welfare </w:t>
            </w:r>
            <w:proofErr w:type="spellStart"/>
            <w:r w:rsidRPr="005210C0">
              <w:rPr>
                <w:i w:val="0"/>
                <w:sz w:val="22"/>
                <w:lang w:val="en-US"/>
              </w:rPr>
              <w:t>centres</w:t>
            </w:r>
            <w:proofErr w:type="spellEnd"/>
            <w:r w:rsidRPr="005210C0">
              <w:rPr>
                <w:i w:val="0"/>
                <w:sz w:val="22"/>
                <w:lang w:val="en-US"/>
              </w:rPr>
              <w:t xml:space="preserve"> to increase </w:t>
            </w:r>
            <w:r w:rsidR="005210C0">
              <w:rPr>
                <w:i w:val="0"/>
                <w:sz w:val="22"/>
                <w:lang w:val="en-US"/>
              </w:rPr>
              <w:t xml:space="preserve">the target group’s </w:t>
            </w:r>
            <w:r w:rsidRPr="005210C0">
              <w:rPr>
                <w:i w:val="0"/>
                <w:sz w:val="22"/>
                <w:lang w:val="en-US"/>
              </w:rPr>
              <w:t xml:space="preserve">social participation and </w:t>
            </w:r>
            <w:r w:rsidR="00EA62B2">
              <w:rPr>
                <w:i w:val="0"/>
                <w:sz w:val="22"/>
                <w:lang w:val="en-US"/>
              </w:rPr>
              <w:t>reduce</w:t>
            </w:r>
            <w:r w:rsidR="005210C0">
              <w:rPr>
                <w:i w:val="0"/>
                <w:sz w:val="22"/>
                <w:lang w:val="en-US"/>
              </w:rPr>
              <w:t xml:space="preserve"> their</w:t>
            </w:r>
            <w:r w:rsidRPr="005210C0">
              <w:rPr>
                <w:i w:val="0"/>
                <w:sz w:val="22"/>
                <w:lang w:val="en-US"/>
              </w:rPr>
              <w:t xml:space="preserve"> isolation. Moreover trainings are set </w:t>
            </w:r>
            <w:r w:rsidR="00DC09E7" w:rsidRPr="005210C0">
              <w:rPr>
                <w:i w:val="0"/>
                <w:sz w:val="22"/>
                <w:lang w:val="en-US"/>
              </w:rPr>
              <w:t>to support the</w:t>
            </w:r>
            <w:r w:rsidRPr="005210C0">
              <w:rPr>
                <w:i w:val="0"/>
                <w:sz w:val="22"/>
                <w:lang w:val="en-US"/>
              </w:rPr>
              <w:t xml:space="preserve"> social workers</w:t>
            </w:r>
            <w:r w:rsidR="005210C0">
              <w:rPr>
                <w:i w:val="0"/>
                <w:sz w:val="22"/>
                <w:lang w:val="en-US"/>
              </w:rPr>
              <w:t xml:space="preserve"> of these</w:t>
            </w:r>
            <w:r w:rsidRPr="005210C0">
              <w:rPr>
                <w:i w:val="0"/>
                <w:sz w:val="22"/>
                <w:lang w:val="en-US"/>
              </w:rPr>
              <w:t xml:space="preserve"> local public welfare </w:t>
            </w:r>
            <w:proofErr w:type="spellStart"/>
            <w:r w:rsidRPr="005210C0">
              <w:rPr>
                <w:i w:val="0"/>
                <w:sz w:val="22"/>
                <w:lang w:val="en-US"/>
              </w:rPr>
              <w:t>centres</w:t>
            </w:r>
            <w:proofErr w:type="spellEnd"/>
            <w:r w:rsidRPr="005210C0">
              <w:rPr>
                <w:i w:val="0"/>
                <w:sz w:val="22"/>
                <w:lang w:val="en-US"/>
              </w:rPr>
              <w:t xml:space="preserve"> </w:t>
            </w:r>
            <w:r w:rsidR="00DC09E7" w:rsidRPr="005210C0">
              <w:rPr>
                <w:i w:val="0"/>
                <w:sz w:val="22"/>
                <w:lang w:val="en-US"/>
              </w:rPr>
              <w:t xml:space="preserve">in their work with </w:t>
            </w:r>
            <w:r w:rsidRPr="005210C0">
              <w:rPr>
                <w:i w:val="0"/>
                <w:sz w:val="22"/>
                <w:lang w:val="en-US"/>
              </w:rPr>
              <w:t>person</w:t>
            </w:r>
            <w:r w:rsidR="00DC09E7" w:rsidRPr="005210C0">
              <w:rPr>
                <w:i w:val="0"/>
                <w:sz w:val="22"/>
                <w:lang w:val="en-US"/>
              </w:rPr>
              <w:t>s</w:t>
            </w:r>
            <w:r w:rsidRPr="005210C0">
              <w:rPr>
                <w:i w:val="0"/>
                <w:sz w:val="22"/>
                <w:lang w:val="en-US"/>
              </w:rPr>
              <w:t xml:space="preserve"> suffering from psychosocial disorders linked to migration.</w:t>
            </w:r>
            <w:r w:rsidR="00FF67C3" w:rsidRPr="005210C0">
              <w:rPr>
                <w:i w:val="0"/>
                <w:sz w:val="22"/>
                <w:lang w:val="en-US"/>
              </w:rPr>
              <w:t xml:space="preserve"> </w:t>
            </w:r>
          </w:p>
          <w:p w14:paraId="0DE52548" w14:textId="77777777" w:rsidR="005210C0" w:rsidRDefault="005210C0" w:rsidP="005210C0">
            <w:pPr>
              <w:pStyle w:val="Personnequisigne"/>
              <w:jc w:val="both"/>
              <w:rPr>
                <w:i w:val="0"/>
                <w:sz w:val="22"/>
                <w:lang w:val="en-US"/>
              </w:rPr>
            </w:pPr>
          </w:p>
          <w:p w14:paraId="3FF61A2E" w14:textId="36F3A47F" w:rsidR="00DC09E7" w:rsidRDefault="00DC09E7" w:rsidP="005210C0">
            <w:pPr>
              <w:pStyle w:val="Personnequisigne"/>
              <w:jc w:val="both"/>
              <w:rPr>
                <w:i w:val="0"/>
                <w:sz w:val="22"/>
                <w:lang w:val="en-US"/>
              </w:rPr>
            </w:pPr>
            <w:r w:rsidRPr="005210C0">
              <w:rPr>
                <w:i w:val="0"/>
                <w:sz w:val="22"/>
                <w:lang w:val="en-US"/>
              </w:rPr>
              <w:t>I</w:t>
            </w:r>
            <w:r w:rsidR="00FF67C3" w:rsidRPr="005210C0">
              <w:rPr>
                <w:i w:val="0"/>
                <w:sz w:val="22"/>
                <w:lang w:val="en-US"/>
              </w:rPr>
              <w:t xml:space="preserve">n </w:t>
            </w:r>
            <w:r w:rsidRPr="005210C0">
              <w:rPr>
                <w:i w:val="0"/>
                <w:sz w:val="22"/>
                <w:lang w:val="en-US"/>
              </w:rPr>
              <w:t>Flanders, a strategy was prepared</w:t>
            </w:r>
            <w:r w:rsidR="005210C0">
              <w:rPr>
                <w:i w:val="0"/>
                <w:sz w:val="22"/>
                <w:lang w:val="en-US"/>
              </w:rPr>
              <w:t xml:space="preserve"> and a call was launched</w:t>
            </w:r>
            <w:r w:rsidRPr="005210C0">
              <w:rPr>
                <w:i w:val="0"/>
                <w:sz w:val="22"/>
                <w:lang w:val="en-US"/>
              </w:rPr>
              <w:t xml:space="preserve"> for the start-up of 18 new regional networks that should offer newcomers from third countries more opportunities to develop a social network and to participate in the host society. </w:t>
            </w:r>
            <w:r w:rsidR="00913A88">
              <w:rPr>
                <w:i w:val="0"/>
                <w:sz w:val="22"/>
                <w:lang w:val="en-US"/>
              </w:rPr>
              <w:t>T</w:t>
            </w:r>
            <w:r w:rsidRPr="005210C0">
              <w:rPr>
                <w:i w:val="0"/>
                <w:sz w:val="22"/>
                <w:lang w:val="en-US"/>
              </w:rPr>
              <w:t>he application of 10 regions was approved. The projects started with the recruitment of network employees and fir</w:t>
            </w:r>
            <w:r w:rsidR="00913A88">
              <w:rPr>
                <w:i w:val="0"/>
                <w:sz w:val="22"/>
                <w:lang w:val="en-US"/>
              </w:rPr>
              <w:t>st network building activities.</w:t>
            </w:r>
          </w:p>
          <w:p w14:paraId="12E0F17A" w14:textId="77777777" w:rsidR="005210C0" w:rsidRDefault="005210C0" w:rsidP="005210C0">
            <w:pPr>
              <w:pStyle w:val="Personnequisigne"/>
              <w:jc w:val="both"/>
              <w:rPr>
                <w:i w:val="0"/>
                <w:sz w:val="22"/>
                <w:lang w:val="en-US"/>
              </w:rPr>
            </w:pPr>
          </w:p>
          <w:p w14:paraId="083B0DFB" w14:textId="5F9AF4A8" w:rsidR="005210C0" w:rsidRDefault="00913A88" w:rsidP="005210C0">
            <w:pPr>
              <w:pStyle w:val="Personnequisigne"/>
              <w:jc w:val="both"/>
              <w:rPr>
                <w:i w:val="0"/>
                <w:sz w:val="22"/>
                <w:lang w:val="en-US"/>
              </w:rPr>
            </w:pPr>
            <w:r>
              <w:rPr>
                <w:i w:val="0"/>
                <w:sz w:val="22"/>
                <w:lang w:val="en-US"/>
              </w:rPr>
              <w:t xml:space="preserve">In Wallonia / Brussels 5% of selected projects </w:t>
            </w:r>
            <w:r w:rsidR="00DC09E7" w:rsidRPr="005210C0">
              <w:rPr>
                <w:i w:val="0"/>
                <w:sz w:val="22"/>
                <w:lang w:val="en-US"/>
              </w:rPr>
              <w:t xml:space="preserve">concern the implementation of language courses (FLE) with or without certification, 14% </w:t>
            </w:r>
            <w:r w:rsidR="00EA62B2">
              <w:rPr>
                <w:i w:val="0"/>
                <w:sz w:val="22"/>
                <w:lang w:val="en-US"/>
              </w:rPr>
              <w:t>concern</w:t>
            </w:r>
            <w:r w:rsidR="00DC09E7" w:rsidRPr="005210C0">
              <w:rPr>
                <w:i w:val="0"/>
                <w:sz w:val="22"/>
                <w:lang w:val="en-US"/>
              </w:rPr>
              <w:t xml:space="preserve"> citizenship courses, 22% individual support for newcomers from third countries to promote their integration, and 15.5% the reception of minors and  unaccompanied</w:t>
            </w:r>
            <w:r w:rsidR="00EA62B2">
              <w:rPr>
                <w:i w:val="0"/>
                <w:sz w:val="22"/>
                <w:lang w:val="en-US"/>
              </w:rPr>
              <w:t xml:space="preserve"> minors</w:t>
            </w:r>
            <w:r w:rsidR="00DC09E7" w:rsidRPr="005210C0">
              <w:rPr>
                <w:i w:val="0"/>
                <w:sz w:val="22"/>
                <w:lang w:val="en-US"/>
              </w:rPr>
              <w:t xml:space="preserve">. Finally, 13% </w:t>
            </w:r>
            <w:r>
              <w:rPr>
                <w:i w:val="0"/>
                <w:sz w:val="22"/>
                <w:lang w:val="en-US"/>
              </w:rPr>
              <w:t xml:space="preserve">of projects </w:t>
            </w:r>
            <w:r w:rsidR="00DC09E7" w:rsidRPr="005210C0">
              <w:rPr>
                <w:i w:val="0"/>
                <w:sz w:val="22"/>
                <w:lang w:val="en-US"/>
              </w:rPr>
              <w:t>concern the development of tools or the training of trainers to improve the reception and therefore the integration of th</w:t>
            </w:r>
            <w:r w:rsidR="00EA62B2">
              <w:rPr>
                <w:i w:val="0"/>
                <w:sz w:val="22"/>
                <w:lang w:val="en-US"/>
              </w:rPr>
              <w:t>is</w:t>
            </w:r>
            <w:r w:rsidR="00DC09E7" w:rsidRPr="005210C0">
              <w:rPr>
                <w:i w:val="0"/>
                <w:sz w:val="22"/>
                <w:lang w:val="en-US"/>
              </w:rPr>
              <w:t xml:space="preserve"> public.</w:t>
            </w:r>
          </w:p>
          <w:p w14:paraId="123E4DC1" w14:textId="77777777" w:rsidR="005210C0" w:rsidRDefault="005210C0" w:rsidP="005210C0">
            <w:pPr>
              <w:pStyle w:val="Personnequisigne"/>
              <w:jc w:val="both"/>
              <w:rPr>
                <w:i w:val="0"/>
                <w:sz w:val="22"/>
                <w:lang w:val="en-US"/>
              </w:rPr>
            </w:pPr>
          </w:p>
          <w:p w14:paraId="63B593D0" w14:textId="146EDE0B" w:rsidR="00DC09E7" w:rsidRPr="005210C0" w:rsidRDefault="00DC09E7" w:rsidP="005210C0">
            <w:pPr>
              <w:pStyle w:val="Personnequisigne"/>
              <w:jc w:val="both"/>
              <w:rPr>
                <w:i w:val="0"/>
                <w:sz w:val="22"/>
                <w:lang w:val="en-US"/>
              </w:rPr>
            </w:pPr>
            <w:r w:rsidRPr="005210C0">
              <w:rPr>
                <w:i w:val="0"/>
                <w:sz w:val="22"/>
                <w:lang w:val="en-US"/>
              </w:rPr>
              <w:t xml:space="preserve">Finally, </w:t>
            </w:r>
            <w:r w:rsidR="00FF67C3" w:rsidRPr="005210C0">
              <w:rPr>
                <w:i w:val="0"/>
                <w:sz w:val="22"/>
                <w:lang w:val="en-US"/>
              </w:rPr>
              <w:t>at the German-speaking Community goal</w:t>
            </w:r>
            <w:r w:rsidRPr="005210C0">
              <w:rPr>
                <w:i w:val="0"/>
                <w:sz w:val="22"/>
                <w:lang w:val="en-US"/>
              </w:rPr>
              <w:t xml:space="preserve"> is to improve integration at local level</w:t>
            </w:r>
            <w:r w:rsidR="00913A88">
              <w:rPr>
                <w:i w:val="0"/>
                <w:sz w:val="22"/>
                <w:lang w:val="en-US"/>
              </w:rPr>
              <w:t xml:space="preserve"> by deploying </w:t>
            </w:r>
            <w:r w:rsidRPr="005210C0">
              <w:rPr>
                <w:i w:val="0"/>
                <w:sz w:val="22"/>
                <w:lang w:val="en-US"/>
              </w:rPr>
              <w:t>three local integration coordinators</w:t>
            </w:r>
            <w:r w:rsidR="00913A88">
              <w:rPr>
                <w:i w:val="0"/>
                <w:sz w:val="22"/>
                <w:lang w:val="en-US"/>
              </w:rPr>
              <w:t xml:space="preserve">. </w:t>
            </w:r>
          </w:p>
          <w:p w14:paraId="241B4CEF" w14:textId="77777777" w:rsidR="005210C0" w:rsidRDefault="005210C0" w:rsidP="00934FB6">
            <w:pPr>
              <w:pStyle w:val="Personnequisigne"/>
              <w:rPr>
                <w:i w:val="0"/>
                <w:sz w:val="22"/>
                <w:lang w:val="en-US"/>
              </w:rPr>
            </w:pPr>
          </w:p>
          <w:p w14:paraId="6949C37B" w14:textId="0258588F" w:rsidR="00934FB6" w:rsidRPr="005210C0" w:rsidRDefault="00382E9C" w:rsidP="00934FB6">
            <w:pPr>
              <w:pStyle w:val="Personnequisigne"/>
              <w:rPr>
                <w:i w:val="0"/>
                <w:sz w:val="22"/>
                <w:u w:val="single"/>
                <w:lang w:val="en-US"/>
              </w:rPr>
            </w:pPr>
            <w:r w:rsidRPr="005210C0">
              <w:rPr>
                <w:i w:val="0"/>
                <w:sz w:val="22"/>
                <w:u w:val="single"/>
                <w:lang w:val="en-US"/>
              </w:rPr>
              <w:t>SO3</w:t>
            </w:r>
            <w:r w:rsidR="00837381">
              <w:rPr>
                <w:i w:val="0"/>
                <w:sz w:val="22"/>
                <w:u w:val="single"/>
                <w:lang w:val="en-US"/>
              </w:rPr>
              <w:t>:</w:t>
            </w:r>
            <w:r w:rsidRPr="005210C0">
              <w:rPr>
                <w:i w:val="0"/>
                <w:sz w:val="22"/>
                <w:u w:val="single"/>
                <w:lang w:val="en-US"/>
              </w:rPr>
              <w:t xml:space="preserve"> </w:t>
            </w:r>
            <w:r w:rsidR="00200016" w:rsidRPr="005210C0">
              <w:rPr>
                <w:i w:val="0"/>
                <w:sz w:val="22"/>
                <w:u w:val="single"/>
                <w:lang w:val="en-US"/>
              </w:rPr>
              <w:t>15</w:t>
            </w:r>
            <w:r w:rsidR="00837381">
              <w:rPr>
                <w:i w:val="0"/>
                <w:sz w:val="22"/>
                <w:u w:val="single"/>
                <w:lang w:val="en-US"/>
              </w:rPr>
              <w:t xml:space="preserve"> projects</w:t>
            </w:r>
            <w:r w:rsidRPr="005210C0">
              <w:rPr>
                <w:i w:val="0"/>
                <w:sz w:val="22"/>
                <w:u w:val="single"/>
                <w:lang w:val="en-US"/>
              </w:rPr>
              <w:t xml:space="preserve"> ongoing</w:t>
            </w:r>
            <w:r w:rsidR="00200016" w:rsidRPr="005210C0">
              <w:rPr>
                <w:i w:val="0"/>
                <w:sz w:val="22"/>
                <w:u w:val="single"/>
                <w:lang w:val="en-US"/>
              </w:rPr>
              <w:t xml:space="preserve">, total </w:t>
            </w:r>
            <w:r w:rsidR="00C81E78" w:rsidRPr="005210C0">
              <w:rPr>
                <w:i w:val="0"/>
                <w:sz w:val="22"/>
                <w:u w:val="single"/>
                <w:lang w:val="en-US"/>
              </w:rPr>
              <w:t xml:space="preserve">AMIF financing = </w:t>
            </w:r>
            <w:r w:rsidR="00200016" w:rsidRPr="005210C0">
              <w:rPr>
                <w:i w:val="0"/>
                <w:sz w:val="22"/>
                <w:u w:val="single"/>
                <w:lang w:val="en-US"/>
              </w:rPr>
              <w:t>27.066.583,73</w:t>
            </w:r>
            <w:r w:rsidR="00C81E78" w:rsidRPr="005210C0">
              <w:rPr>
                <w:i w:val="0"/>
                <w:sz w:val="22"/>
                <w:u w:val="single"/>
                <w:lang w:val="en-US"/>
              </w:rPr>
              <w:t xml:space="preserve"> EUR</w:t>
            </w:r>
            <w:r w:rsidRPr="005210C0">
              <w:rPr>
                <w:i w:val="0"/>
                <w:sz w:val="22"/>
                <w:u w:val="single"/>
                <w:lang w:val="en-US"/>
              </w:rPr>
              <w:t xml:space="preserve">. </w:t>
            </w:r>
          </w:p>
          <w:p w14:paraId="2EB2EA25" w14:textId="71452C57" w:rsidR="00934FB6" w:rsidRPr="00C81E78" w:rsidRDefault="00934FB6" w:rsidP="00DB1753">
            <w:pPr>
              <w:pStyle w:val="Personnequisigne"/>
              <w:rPr>
                <w:noProof/>
                <w:sz w:val="22"/>
              </w:rPr>
            </w:pPr>
          </w:p>
          <w:p w14:paraId="54D609D7" w14:textId="1C47242E" w:rsidR="00C81E78" w:rsidRPr="005210C0" w:rsidRDefault="00934FB6" w:rsidP="005210C0">
            <w:pPr>
              <w:pStyle w:val="Personnequisigne"/>
              <w:jc w:val="both"/>
              <w:rPr>
                <w:i w:val="0"/>
                <w:sz w:val="22"/>
                <w:lang w:val="en-US"/>
              </w:rPr>
            </w:pPr>
            <w:r w:rsidRPr="005210C0">
              <w:rPr>
                <w:i w:val="0"/>
                <w:sz w:val="22"/>
                <w:lang w:val="en-US"/>
              </w:rPr>
              <w:t xml:space="preserve">Emphasis under SO3 was to set up a </w:t>
            </w:r>
            <w:r w:rsidR="006F4533" w:rsidRPr="005210C0">
              <w:rPr>
                <w:i w:val="0"/>
                <w:sz w:val="22"/>
                <w:lang w:val="en-US"/>
              </w:rPr>
              <w:t xml:space="preserve">coordinated approach between </w:t>
            </w:r>
            <w:proofErr w:type="spellStart"/>
            <w:r w:rsidR="006F4533" w:rsidRPr="005210C0">
              <w:rPr>
                <w:i w:val="0"/>
                <w:sz w:val="22"/>
                <w:lang w:val="en-US"/>
              </w:rPr>
              <w:t>F</w:t>
            </w:r>
            <w:r w:rsidRPr="005210C0">
              <w:rPr>
                <w:i w:val="0"/>
                <w:sz w:val="22"/>
                <w:lang w:val="en-US"/>
              </w:rPr>
              <w:t>edasil</w:t>
            </w:r>
            <w:proofErr w:type="spellEnd"/>
            <w:r w:rsidRPr="005210C0">
              <w:rPr>
                <w:i w:val="0"/>
                <w:sz w:val="22"/>
                <w:lang w:val="en-US"/>
              </w:rPr>
              <w:t>, the migration office, cities and civil society, and to provide particular attention to returnees with special needs</w:t>
            </w:r>
            <w:r w:rsidR="009C4A4F" w:rsidRPr="005210C0">
              <w:rPr>
                <w:i w:val="0"/>
                <w:sz w:val="22"/>
                <w:lang w:val="en-US"/>
              </w:rPr>
              <w:t>, and to improve return processes</w:t>
            </w:r>
            <w:r w:rsidRPr="005210C0">
              <w:rPr>
                <w:i w:val="0"/>
                <w:sz w:val="22"/>
                <w:lang w:val="en-US"/>
              </w:rPr>
              <w:t>.</w:t>
            </w:r>
            <w:r w:rsidR="009C4A4F" w:rsidRPr="005210C0">
              <w:rPr>
                <w:i w:val="0"/>
                <w:sz w:val="22"/>
                <w:lang w:val="en-US"/>
              </w:rPr>
              <w:t xml:space="preserve"> </w:t>
            </w:r>
            <w:r w:rsidR="00382E9C" w:rsidRPr="005210C0">
              <w:rPr>
                <w:i w:val="0"/>
                <w:sz w:val="22"/>
                <w:lang w:val="en-US"/>
              </w:rPr>
              <w:t xml:space="preserve">With regard to </w:t>
            </w:r>
            <w:r w:rsidR="00200016" w:rsidRPr="00913A88">
              <w:rPr>
                <w:b/>
                <w:i w:val="0"/>
                <w:sz w:val="22"/>
                <w:lang w:val="en-US"/>
              </w:rPr>
              <w:t>voluntary</w:t>
            </w:r>
            <w:r w:rsidR="00382E9C" w:rsidRPr="00913A88">
              <w:rPr>
                <w:b/>
                <w:i w:val="0"/>
                <w:sz w:val="22"/>
                <w:lang w:val="en-US"/>
              </w:rPr>
              <w:t xml:space="preserve"> return</w:t>
            </w:r>
            <w:r w:rsidR="001B35CC" w:rsidRPr="005210C0">
              <w:rPr>
                <w:i w:val="0"/>
                <w:sz w:val="22"/>
                <w:lang w:val="en-US"/>
              </w:rPr>
              <w:t xml:space="preserve"> </w:t>
            </w:r>
            <w:r w:rsidR="00200016" w:rsidRPr="005210C0">
              <w:rPr>
                <w:i w:val="0"/>
                <w:sz w:val="22"/>
                <w:lang w:val="en-US"/>
              </w:rPr>
              <w:t>projects</w:t>
            </w:r>
            <w:r w:rsidR="006F4533" w:rsidRPr="005210C0">
              <w:rPr>
                <w:i w:val="0"/>
                <w:sz w:val="22"/>
                <w:lang w:val="en-US"/>
              </w:rPr>
              <w:t>, the</w:t>
            </w:r>
            <w:r w:rsidR="00200016" w:rsidRPr="005210C0">
              <w:rPr>
                <w:i w:val="0"/>
                <w:sz w:val="22"/>
                <w:lang w:val="en-US"/>
              </w:rPr>
              <w:t xml:space="preserve"> </w:t>
            </w:r>
            <w:r w:rsidR="001B35CC" w:rsidRPr="005210C0">
              <w:rPr>
                <w:i w:val="0"/>
                <w:sz w:val="22"/>
                <w:lang w:val="en-US"/>
              </w:rPr>
              <w:t xml:space="preserve">focus was on </w:t>
            </w:r>
            <w:r w:rsidR="00E84400" w:rsidRPr="005210C0">
              <w:rPr>
                <w:i w:val="0"/>
                <w:sz w:val="22"/>
                <w:lang w:val="en-US"/>
              </w:rPr>
              <w:t>coaching both civil society and potential returnees</w:t>
            </w:r>
            <w:r w:rsidRPr="005210C0">
              <w:rPr>
                <w:i w:val="0"/>
                <w:sz w:val="22"/>
                <w:lang w:val="en-US"/>
              </w:rPr>
              <w:t xml:space="preserve">. </w:t>
            </w:r>
            <w:r w:rsidR="00806CAF" w:rsidRPr="005210C0">
              <w:rPr>
                <w:i w:val="0"/>
                <w:sz w:val="22"/>
                <w:lang w:val="en-US"/>
              </w:rPr>
              <w:t>Belgium aims to reach to and inform migrants within and outside the reception network</w:t>
            </w:r>
            <w:r w:rsidR="00DB1753" w:rsidRPr="005210C0">
              <w:rPr>
                <w:i w:val="0"/>
                <w:sz w:val="22"/>
                <w:lang w:val="en-US"/>
              </w:rPr>
              <w:t xml:space="preserve"> and the re</w:t>
            </w:r>
            <w:r w:rsidR="00806CAF" w:rsidRPr="005210C0">
              <w:rPr>
                <w:i w:val="0"/>
                <w:sz w:val="22"/>
                <w:lang w:val="en-US"/>
              </w:rPr>
              <w:t xml:space="preserve">turn </w:t>
            </w:r>
            <w:proofErr w:type="spellStart"/>
            <w:r w:rsidR="00806CAF" w:rsidRPr="005210C0">
              <w:rPr>
                <w:i w:val="0"/>
                <w:sz w:val="22"/>
                <w:lang w:val="en-US"/>
              </w:rPr>
              <w:t>centres</w:t>
            </w:r>
            <w:proofErr w:type="spellEnd"/>
            <w:r w:rsidR="00806CAF" w:rsidRPr="005210C0">
              <w:rPr>
                <w:i w:val="0"/>
                <w:sz w:val="22"/>
                <w:lang w:val="en-US"/>
              </w:rPr>
              <w:t xml:space="preserve">. They are being informed about their rights and possibilities in Belgium, with voluntary return as one of the key possibilities. Working together with IOM &amp; Caritas, Belgium managed to </w:t>
            </w:r>
            <w:r w:rsidR="00FC28BD" w:rsidRPr="005210C0">
              <w:rPr>
                <w:i w:val="0"/>
                <w:sz w:val="22"/>
                <w:lang w:val="en-US"/>
              </w:rPr>
              <w:t xml:space="preserve">strengthen the cooperation with local partner </w:t>
            </w:r>
            <w:proofErr w:type="spellStart"/>
            <w:r w:rsidR="00FC28BD" w:rsidRPr="005210C0">
              <w:rPr>
                <w:i w:val="0"/>
                <w:sz w:val="22"/>
                <w:lang w:val="en-US"/>
              </w:rPr>
              <w:t>organisations</w:t>
            </w:r>
            <w:proofErr w:type="spellEnd"/>
            <w:r w:rsidR="00FC28BD" w:rsidRPr="005210C0">
              <w:rPr>
                <w:i w:val="0"/>
                <w:sz w:val="22"/>
                <w:lang w:val="en-US"/>
              </w:rPr>
              <w:t xml:space="preserve"> in countries of origin and to provide adequate pre departure counseling and tailor made assisted voluntary return to returnees.</w:t>
            </w:r>
            <w:r w:rsidRPr="005210C0">
              <w:rPr>
                <w:i w:val="0"/>
                <w:sz w:val="22"/>
                <w:lang w:val="en-US"/>
              </w:rPr>
              <w:t xml:space="preserve"> </w:t>
            </w:r>
            <w:r w:rsidR="00DB1753" w:rsidRPr="005210C0">
              <w:rPr>
                <w:i w:val="0"/>
                <w:sz w:val="22"/>
                <w:lang w:val="en-US"/>
              </w:rPr>
              <w:t xml:space="preserve">With regard to </w:t>
            </w:r>
            <w:r w:rsidR="00DB1753" w:rsidRPr="00913A88">
              <w:rPr>
                <w:b/>
                <w:i w:val="0"/>
                <w:sz w:val="22"/>
                <w:lang w:val="en-US"/>
              </w:rPr>
              <w:t>forced return</w:t>
            </w:r>
            <w:r w:rsidRPr="005210C0">
              <w:rPr>
                <w:i w:val="0"/>
                <w:sz w:val="22"/>
                <w:lang w:val="en-US"/>
              </w:rPr>
              <w:t xml:space="preserve"> </w:t>
            </w:r>
            <w:r w:rsidR="00DB1753" w:rsidRPr="005210C0">
              <w:rPr>
                <w:i w:val="0"/>
                <w:sz w:val="22"/>
                <w:lang w:val="en-US"/>
              </w:rPr>
              <w:t xml:space="preserve"> focus was on setting up projects under the new EU programming period. Procurement procedures were launched to improve infrastructure and IT tools</w:t>
            </w:r>
            <w:r w:rsidR="009C4A4F" w:rsidRPr="005210C0">
              <w:rPr>
                <w:i w:val="0"/>
                <w:sz w:val="22"/>
                <w:lang w:val="en-US"/>
              </w:rPr>
              <w:t xml:space="preserve"> (in particular regarding exchange of information on irregular stays among the main partner)</w:t>
            </w:r>
            <w:r w:rsidR="00DB1753" w:rsidRPr="005210C0">
              <w:rPr>
                <w:i w:val="0"/>
                <w:sz w:val="22"/>
                <w:lang w:val="en-US"/>
              </w:rPr>
              <w:t xml:space="preserve">, and to purchase new material. </w:t>
            </w:r>
            <w:r w:rsidR="003C2ACA" w:rsidRPr="005210C0">
              <w:rPr>
                <w:i w:val="0"/>
                <w:sz w:val="22"/>
                <w:lang w:val="en-US"/>
              </w:rPr>
              <w:t xml:space="preserve">New staff was hired and trained to improve and humanize the return process and ensure the protection of the rights of returnees.  </w:t>
            </w:r>
          </w:p>
          <w:p w14:paraId="211C24DB" w14:textId="77777777" w:rsidR="00C81E78" w:rsidRPr="005210C0" w:rsidRDefault="00C81E78" w:rsidP="005210C0">
            <w:pPr>
              <w:pStyle w:val="Personnequisigne"/>
              <w:jc w:val="both"/>
              <w:rPr>
                <w:i w:val="0"/>
                <w:sz w:val="22"/>
                <w:lang w:val="en-US"/>
              </w:rPr>
            </w:pPr>
          </w:p>
          <w:p w14:paraId="24294C2B" w14:textId="06B30044" w:rsidR="004465EB" w:rsidRPr="005210C0" w:rsidRDefault="004465EB" w:rsidP="005210C0">
            <w:pPr>
              <w:pStyle w:val="Personnequisigne"/>
              <w:jc w:val="both"/>
              <w:rPr>
                <w:i w:val="0"/>
                <w:sz w:val="22"/>
                <w:u w:val="single"/>
                <w:lang w:val="en-US"/>
              </w:rPr>
            </w:pPr>
            <w:r w:rsidRPr="005210C0">
              <w:rPr>
                <w:i w:val="0"/>
                <w:sz w:val="22"/>
                <w:u w:val="single"/>
                <w:lang w:val="en-US"/>
              </w:rPr>
              <w:t>SO4 : 1 project ongoing, tot</w:t>
            </w:r>
            <w:r w:rsidR="00C81E78" w:rsidRPr="005210C0">
              <w:rPr>
                <w:i w:val="0"/>
                <w:sz w:val="22"/>
                <w:u w:val="single"/>
                <w:lang w:val="en-US"/>
              </w:rPr>
              <w:t>al AMIF financing =1.700.638,15 EUR</w:t>
            </w:r>
          </w:p>
          <w:p w14:paraId="5F5BD6AD" w14:textId="77777777" w:rsidR="004465EB" w:rsidRPr="005210C0" w:rsidRDefault="004465EB" w:rsidP="005210C0">
            <w:pPr>
              <w:pStyle w:val="Personnequisigne"/>
              <w:jc w:val="both"/>
              <w:rPr>
                <w:i w:val="0"/>
                <w:sz w:val="22"/>
                <w:lang w:val="en-US"/>
              </w:rPr>
            </w:pPr>
          </w:p>
          <w:p w14:paraId="74560746" w14:textId="0EBFBE88" w:rsidR="000F07D5" w:rsidRPr="005210C0" w:rsidRDefault="004465EB" w:rsidP="008F3008">
            <w:pPr>
              <w:pStyle w:val="Personnequisigne"/>
              <w:jc w:val="both"/>
              <w:rPr>
                <w:i w:val="0"/>
                <w:sz w:val="22"/>
                <w:lang w:val="en-US"/>
              </w:rPr>
            </w:pPr>
            <w:r w:rsidRPr="005210C0">
              <w:rPr>
                <w:i w:val="0"/>
                <w:sz w:val="22"/>
                <w:lang w:val="en-US"/>
              </w:rPr>
              <w:t xml:space="preserve">During the reporting period, the </w:t>
            </w:r>
            <w:r w:rsidRPr="0038516C">
              <w:rPr>
                <w:b/>
                <w:i w:val="0"/>
                <w:sz w:val="22"/>
                <w:lang w:val="en-US"/>
              </w:rPr>
              <w:t>resettlement</w:t>
            </w:r>
            <w:r w:rsidRPr="005210C0">
              <w:rPr>
                <w:i w:val="0"/>
                <w:sz w:val="22"/>
                <w:lang w:val="en-US"/>
              </w:rPr>
              <w:t xml:space="preserve"> </w:t>
            </w:r>
            <w:proofErr w:type="spellStart"/>
            <w:r w:rsidRPr="005210C0">
              <w:rPr>
                <w:i w:val="0"/>
                <w:sz w:val="22"/>
                <w:lang w:val="en-US"/>
              </w:rPr>
              <w:t>programme</w:t>
            </w:r>
            <w:proofErr w:type="spellEnd"/>
            <w:r w:rsidRPr="005210C0">
              <w:rPr>
                <w:i w:val="0"/>
                <w:sz w:val="22"/>
                <w:lang w:val="en-US"/>
              </w:rPr>
              <w:t xml:space="preserve"> has been further consolidated and possibilities for complementary pathways have been explore</w:t>
            </w:r>
            <w:r w:rsidR="005A2F53">
              <w:rPr>
                <w:i w:val="0"/>
                <w:sz w:val="22"/>
                <w:lang w:val="en-US"/>
              </w:rPr>
              <w:t>d</w:t>
            </w:r>
            <w:r w:rsidRPr="005210C0">
              <w:rPr>
                <w:i w:val="0"/>
                <w:sz w:val="22"/>
                <w:lang w:val="en-US"/>
              </w:rPr>
              <w:t xml:space="preserve"> in order to provide a stable and predictable framework for pledging exercises, anchor national efforts in international solidarity and diversify the admission routes for people in need of protection. The cooperation with partners at national level that take up an important role of the resettlement program or other complementary pathways (</w:t>
            </w:r>
            <w:proofErr w:type="spellStart"/>
            <w:r w:rsidRPr="005210C0">
              <w:rPr>
                <w:i w:val="0"/>
                <w:sz w:val="22"/>
                <w:lang w:val="en-US"/>
              </w:rPr>
              <w:t>f.e</w:t>
            </w:r>
            <w:proofErr w:type="spellEnd"/>
            <w:r w:rsidRPr="005210C0">
              <w:rPr>
                <w:i w:val="0"/>
                <w:sz w:val="22"/>
                <w:lang w:val="en-US"/>
              </w:rPr>
              <w:t>. local authorities) has been further developed.</w:t>
            </w:r>
            <w:r w:rsidR="008F3008" w:rsidRPr="005210C0">
              <w:rPr>
                <w:i w:val="0"/>
                <w:sz w:val="22"/>
                <w:lang w:val="en-US"/>
              </w:rPr>
              <w:t xml:space="preserve"> </w:t>
            </w:r>
            <w:r w:rsidRPr="005210C0">
              <w:rPr>
                <w:i w:val="0"/>
                <w:sz w:val="22"/>
                <w:lang w:val="en-US"/>
              </w:rPr>
              <w:t xml:space="preserve">Belgian expertise acquired over the years (e.g. setting up of a resettlement </w:t>
            </w:r>
            <w:proofErr w:type="spellStart"/>
            <w:r w:rsidRPr="005210C0">
              <w:rPr>
                <w:i w:val="0"/>
                <w:sz w:val="22"/>
                <w:lang w:val="en-US"/>
              </w:rPr>
              <w:t>programme</w:t>
            </w:r>
            <w:proofErr w:type="spellEnd"/>
            <w:r w:rsidRPr="005210C0">
              <w:rPr>
                <w:i w:val="0"/>
                <w:sz w:val="22"/>
                <w:lang w:val="en-US"/>
              </w:rPr>
              <w:t xml:space="preserve">; conducting of selection and cultural orientation missions; involvement of stakeholders, </w:t>
            </w:r>
            <w:proofErr w:type="spellStart"/>
            <w:r w:rsidRPr="005210C0">
              <w:rPr>
                <w:i w:val="0"/>
                <w:sz w:val="22"/>
                <w:lang w:val="en-US"/>
              </w:rPr>
              <w:t>etc</w:t>
            </w:r>
            <w:proofErr w:type="spellEnd"/>
            <w:r w:rsidRPr="005210C0">
              <w:rPr>
                <w:i w:val="0"/>
                <w:sz w:val="22"/>
                <w:lang w:val="en-US"/>
              </w:rPr>
              <w:t>) has been shared with other States.</w:t>
            </w:r>
          </w:p>
          <w:p w14:paraId="28AC78ED" w14:textId="18C8F878" w:rsidR="0087657F" w:rsidRDefault="0087657F" w:rsidP="00241BA6">
            <w:pPr>
              <w:pStyle w:val="Personnequisigne"/>
              <w:rPr>
                <w:noProof/>
              </w:rPr>
            </w:pPr>
          </w:p>
        </w:tc>
      </w:tr>
    </w:tbl>
    <w:p w14:paraId="736AE2B0" w14:textId="02F394D4" w:rsidR="0087657F" w:rsidRDefault="0005722E" w:rsidP="0005722E">
      <w:pPr>
        <w:pStyle w:val="ManualHeading2"/>
        <w:rPr>
          <w:noProof/>
        </w:rPr>
      </w:pPr>
      <w:r w:rsidRPr="0005722E">
        <w:lastRenderedPageBreak/>
        <w:t>1.2.</w:t>
      </w:r>
      <w:r w:rsidRPr="0005722E">
        <w:tab/>
      </w:r>
      <w:r w:rsidR="0087657F">
        <w:rPr>
          <w:noProof/>
        </w:rPr>
        <w:t xml:space="preserve">Issues affecting performance – </w:t>
      </w:r>
      <w:r w:rsidR="006E268C">
        <w:rPr>
          <w:noProof/>
        </w:rPr>
        <w:t>A</w:t>
      </w:r>
      <w:r w:rsidR="0087657F">
        <w:rPr>
          <w:noProof/>
        </w:rPr>
        <w:t>rticle 35(2)</w:t>
      </w:r>
      <w:r w:rsidR="006E268C">
        <w:rPr>
          <w:noProof/>
        </w:rPr>
        <w:t>,</w:t>
      </w:r>
      <w:r w:rsidR="0087657F">
        <w:rPr>
          <w:noProof/>
        </w:rPr>
        <w:t xml:space="preserve"> point (b)</w:t>
      </w:r>
      <w:r w:rsidR="006E268C">
        <w:rPr>
          <w:noProof/>
        </w:rPr>
        <w:t>,</w:t>
      </w:r>
      <w:r w:rsidR="0087657F">
        <w:rPr>
          <w:noProof/>
        </w:rPr>
        <w:t xml:space="preserve"> of Regulation </w:t>
      </w:r>
      <w:r w:rsidR="0087657F" w:rsidRPr="00933D05">
        <w:rPr>
          <w:noProof/>
        </w:rPr>
        <w:t>(EU) 2021/1147</w:t>
      </w:r>
    </w:p>
    <w:p w14:paraId="66876B74" w14:textId="79577250" w:rsidR="0087657F" w:rsidRPr="00C8307A" w:rsidRDefault="0087657F" w:rsidP="0087657F">
      <w:pPr>
        <w:rPr>
          <w:noProof/>
          <w:sz w:val="22"/>
        </w:rPr>
      </w:pPr>
      <w:r w:rsidRPr="00C8307A">
        <w:rPr>
          <w:noProof/>
          <w:sz w:val="22"/>
        </w:rPr>
        <w:t xml:space="preserve">For each specific objective, describe any issues affecting the performance of the programme during the accounting year </w:t>
      </w:r>
      <w:r w:rsidR="00DD1128">
        <w:rPr>
          <w:noProof/>
          <w:sz w:val="22"/>
        </w:rPr>
        <w:t>and</w:t>
      </w:r>
      <w:r w:rsidRPr="00C8307A">
        <w:rPr>
          <w:noProof/>
          <w:sz w:val="22"/>
        </w:rPr>
        <w:t xml:space="preserve"> any action</w:t>
      </w:r>
      <w:r w:rsidR="006968E5">
        <w:rPr>
          <w:noProof/>
          <w:sz w:val="22"/>
        </w:rPr>
        <w:t>s</w:t>
      </w:r>
      <w:r w:rsidRPr="00C8307A">
        <w:rPr>
          <w:noProof/>
          <w:sz w:val="22"/>
        </w:rPr>
        <w:t xml:space="preserve"> taken to address them. </w:t>
      </w:r>
    </w:p>
    <w:p w14:paraId="7432222B" w14:textId="31560C7F" w:rsidR="0087657F" w:rsidRPr="00C8307A" w:rsidRDefault="0087657F" w:rsidP="0087657F">
      <w:pPr>
        <w:rPr>
          <w:noProof/>
          <w:sz w:val="22"/>
        </w:rPr>
      </w:pPr>
      <w:r w:rsidRPr="00C8307A">
        <w:rPr>
          <w:noProof/>
          <w:sz w:val="22"/>
        </w:rPr>
        <w:t xml:space="preserve">Whenever possible and relevant, you are encouraged to distinguish </w:t>
      </w:r>
      <w:r w:rsidR="00DD1128">
        <w:rPr>
          <w:noProof/>
          <w:sz w:val="22"/>
        </w:rPr>
        <w:t>between</w:t>
      </w:r>
      <w:r w:rsidR="00DD1128" w:rsidRPr="00C8307A">
        <w:rPr>
          <w:noProof/>
          <w:sz w:val="22"/>
        </w:rPr>
        <w:t xml:space="preserve"> </w:t>
      </w:r>
      <w:r w:rsidRPr="00C8307A">
        <w:rPr>
          <w:noProof/>
          <w:sz w:val="22"/>
        </w:rPr>
        <w:t>issues related to:</w:t>
      </w:r>
    </w:p>
    <w:p w14:paraId="4255D471" w14:textId="77777777" w:rsidR="0087657F" w:rsidRPr="00C8307A" w:rsidRDefault="0087657F" w:rsidP="00636FE6">
      <w:pPr>
        <w:pStyle w:val="Tiret0"/>
        <w:numPr>
          <w:ilvl w:val="0"/>
          <w:numId w:val="11"/>
        </w:numPr>
        <w:rPr>
          <w:noProof/>
          <w:sz w:val="22"/>
        </w:rPr>
      </w:pPr>
      <w:r w:rsidRPr="00C8307A">
        <w:rPr>
          <w:noProof/>
          <w:sz w:val="22"/>
        </w:rPr>
        <w:t>underreporting of achievements;</w:t>
      </w:r>
      <w:r w:rsidR="00515026">
        <w:rPr>
          <w:rStyle w:val="Appelnotedebasdep"/>
          <w:noProof/>
          <w:sz w:val="22"/>
        </w:rPr>
        <w:footnoteReference w:id="2"/>
      </w:r>
    </w:p>
    <w:p w14:paraId="71C3C099" w14:textId="77777777" w:rsidR="0087657F" w:rsidRPr="00C8307A" w:rsidRDefault="0087657F" w:rsidP="00C8307A">
      <w:pPr>
        <w:pStyle w:val="Tiret0"/>
        <w:rPr>
          <w:noProof/>
          <w:sz w:val="22"/>
        </w:rPr>
      </w:pPr>
      <w:r w:rsidRPr="00C8307A">
        <w:rPr>
          <w:noProof/>
          <w:sz w:val="22"/>
        </w:rPr>
        <w:t>target setting;</w:t>
      </w:r>
      <w:r w:rsidR="00515026">
        <w:rPr>
          <w:rStyle w:val="Appelnotedebasdep"/>
          <w:noProof/>
          <w:sz w:val="22"/>
        </w:rPr>
        <w:footnoteReference w:id="3"/>
      </w:r>
    </w:p>
    <w:p w14:paraId="7DC0ADB5" w14:textId="77777777" w:rsidR="0087657F" w:rsidRPr="00C8307A" w:rsidRDefault="0087657F" w:rsidP="00C8307A">
      <w:pPr>
        <w:pStyle w:val="Tiret0"/>
        <w:rPr>
          <w:noProof/>
          <w:sz w:val="22"/>
        </w:rPr>
      </w:pPr>
      <w:r w:rsidRPr="00C8307A">
        <w:rPr>
          <w:noProof/>
          <w:sz w:val="22"/>
        </w:rPr>
        <w:t>procedural delays and administrative capacity;</w:t>
      </w:r>
      <w:r w:rsidR="00515026">
        <w:rPr>
          <w:rStyle w:val="Appelnotedebasdep"/>
          <w:noProof/>
          <w:sz w:val="22"/>
        </w:rPr>
        <w:footnoteReference w:id="4"/>
      </w:r>
    </w:p>
    <w:p w14:paraId="63D4E9F8" w14:textId="77777777" w:rsidR="00515026" w:rsidRPr="00515026" w:rsidRDefault="0087657F" w:rsidP="00E45665">
      <w:pPr>
        <w:pStyle w:val="Tiret0"/>
        <w:rPr>
          <w:noProof/>
          <w:sz w:val="22"/>
        </w:rPr>
      </w:pPr>
      <w:r w:rsidRPr="00515026">
        <w:rPr>
          <w:noProof/>
          <w:sz w:val="22"/>
        </w:rPr>
        <w:t>contextual changes;</w:t>
      </w:r>
      <w:r w:rsidR="00515026">
        <w:rPr>
          <w:rStyle w:val="Appelnotedebasdep"/>
          <w:noProof/>
          <w:sz w:val="22"/>
        </w:rPr>
        <w:footnoteReference w:id="5"/>
      </w:r>
    </w:p>
    <w:p w14:paraId="7A20BA9D" w14:textId="43ED947C" w:rsidR="0087657F" w:rsidRPr="00515026" w:rsidRDefault="0087657F" w:rsidP="00E45665">
      <w:pPr>
        <w:pStyle w:val="Tiret0"/>
        <w:rPr>
          <w:noProof/>
          <w:sz w:val="22"/>
        </w:rPr>
      </w:pPr>
      <w:r w:rsidRPr="00515026">
        <w:rPr>
          <w:noProof/>
          <w:sz w:val="22"/>
        </w:rPr>
        <w:t>the design and/or implementation of the operations;</w:t>
      </w:r>
      <w:r w:rsidR="00515026">
        <w:rPr>
          <w:rStyle w:val="Appelnotedebasdep"/>
          <w:noProof/>
          <w:sz w:val="22"/>
        </w:rPr>
        <w:footnoteReference w:id="6"/>
      </w:r>
      <w:r w:rsidR="00515026">
        <w:rPr>
          <w:noProof/>
        </w:rPr>
        <w:t xml:space="preserve"> </w:t>
      </w:r>
    </w:p>
    <w:p w14:paraId="54A40BF9" w14:textId="77777777" w:rsidR="0087657F" w:rsidRPr="00C8307A" w:rsidRDefault="0087657F" w:rsidP="00C8307A">
      <w:pPr>
        <w:pStyle w:val="Tiret0"/>
        <w:rPr>
          <w:noProof/>
          <w:sz w:val="22"/>
        </w:rPr>
      </w:pPr>
      <w:r w:rsidRPr="00C8307A">
        <w:rPr>
          <w:noProof/>
          <w:sz w:val="22"/>
        </w:rPr>
        <w:t xml:space="preserve">any other matter. </w:t>
      </w:r>
    </w:p>
    <w:p w14:paraId="346C41E0" w14:textId="0B4CFD70" w:rsidR="0087657F" w:rsidRPr="00450B1B" w:rsidRDefault="00A002B3" w:rsidP="0087657F">
      <w:pPr>
        <w:rPr>
          <w:i/>
          <w:noProof/>
          <w:sz w:val="22"/>
        </w:rPr>
      </w:pPr>
      <w:r>
        <w:rPr>
          <w:noProof/>
          <w:sz w:val="22"/>
        </w:rPr>
        <w:t>D</w:t>
      </w:r>
      <w:r w:rsidRPr="00450B1B">
        <w:rPr>
          <w:noProof/>
          <w:sz w:val="22"/>
        </w:rPr>
        <w:t xml:space="preserve">escribe </w:t>
      </w:r>
      <w:r w:rsidR="0087657F" w:rsidRPr="00450B1B">
        <w:rPr>
          <w:noProof/>
          <w:sz w:val="22"/>
        </w:rPr>
        <w:t>any changes to strategy or national objectives</w:t>
      </w:r>
      <w:r w:rsidR="00A97818">
        <w:rPr>
          <w:noProof/>
          <w:sz w:val="22"/>
        </w:rPr>
        <w:t>,</w:t>
      </w:r>
      <w:r w:rsidR="0087657F" w:rsidRPr="00450B1B">
        <w:rPr>
          <w:noProof/>
          <w:sz w:val="22"/>
        </w:rPr>
        <w:t xml:space="preserve"> or any factors that may lead to changes in the future</w:t>
      </w:r>
      <w:r w:rsidR="0087657F">
        <w:rPr>
          <w:noProof/>
          <w:sz w:val="22"/>
        </w:rPr>
        <w:t xml:space="preserve">, as well as the modifications that those changes have produced in the </w:t>
      </w:r>
      <w:r w:rsidR="00860CF3">
        <w:rPr>
          <w:noProof/>
          <w:sz w:val="22"/>
        </w:rPr>
        <w:t xml:space="preserve">targets estimated </w:t>
      </w:r>
      <w:r>
        <w:rPr>
          <w:noProof/>
          <w:sz w:val="22"/>
        </w:rPr>
        <w:t xml:space="preserve">as per the methodology to establish the </w:t>
      </w:r>
      <w:r w:rsidR="0087657F">
        <w:rPr>
          <w:noProof/>
          <w:sz w:val="22"/>
        </w:rPr>
        <w:t>performance framework</w:t>
      </w:r>
      <w:r w:rsidR="0087657F" w:rsidRPr="00450B1B">
        <w:rPr>
          <w:noProof/>
          <w:sz w:val="22"/>
        </w:rPr>
        <w:t>.</w:t>
      </w:r>
    </w:p>
    <w:p w14:paraId="3827EFDD" w14:textId="033A2A6A" w:rsidR="0087657F" w:rsidRPr="00450B1B" w:rsidRDefault="00A002B3" w:rsidP="0087657F">
      <w:pPr>
        <w:rPr>
          <w:i/>
          <w:noProof/>
          <w:sz w:val="22"/>
        </w:rPr>
      </w:pPr>
      <w:r>
        <w:rPr>
          <w:noProof/>
          <w:sz w:val="22"/>
        </w:rPr>
        <w:t>I</w:t>
      </w:r>
      <w:r w:rsidR="0087657F" w:rsidRPr="00450B1B">
        <w:rPr>
          <w:noProof/>
          <w:sz w:val="22"/>
        </w:rPr>
        <w:t xml:space="preserve">nclude information on any reasoned opinions delivered by the Commission in respect of infringement proceedings under Article 258 </w:t>
      </w:r>
      <w:r w:rsidR="00A97818">
        <w:rPr>
          <w:noProof/>
          <w:sz w:val="22"/>
        </w:rPr>
        <w:t xml:space="preserve">of the </w:t>
      </w:r>
      <w:r w:rsidR="00A97818" w:rsidRPr="00A97818">
        <w:rPr>
          <w:noProof/>
          <w:sz w:val="22"/>
        </w:rPr>
        <w:t xml:space="preserve">Treaty on the Functioning of the European Union </w:t>
      </w:r>
      <w:r w:rsidR="00A97818">
        <w:rPr>
          <w:noProof/>
          <w:sz w:val="22"/>
        </w:rPr>
        <w:t>(</w:t>
      </w:r>
      <w:r w:rsidR="0087657F" w:rsidRPr="00450B1B">
        <w:rPr>
          <w:noProof/>
          <w:sz w:val="22"/>
        </w:rPr>
        <w:t>TFEU</w:t>
      </w:r>
      <w:r w:rsidR="00A97818">
        <w:rPr>
          <w:noProof/>
          <w:sz w:val="22"/>
        </w:rPr>
        <w:t>), and which are</w:t>
      </w:r>
      <w:r w:rsidR="0087657F" w:rsidRPr="00450B1B">
        <w:rPr>
          <w:noProof/>
          <w:sz w:val="22"/>
        </w:rPr>
        <w:t xml:space="preserve"> linked to the implementation of the </w:t>
      </w:r>
      <w:r w:rsidR="00892376">
        <w:rPr>
          <w:noProof/>
          <w:sz w:val="22"/>
        </w:rPr>
        <w:t>f</w:t>
      </w:r>
      <w:r w:rsidR="0087657F" w:rsidRPr="00450B1B">
        <w:rPr>
          <w:noProof/>
          <w:sz w:val="22"/>
        </w:rPr>
        <w:t>und.</w:t>
      </w:r>
    </w:p>
    <w:tbl>
      <w:tblPr>
        <w:tblStyle w:val="Grilledutableau"/>
        <w:tblW w:w="0" w:type="auto"/>
        <w:tblLook w:val="04A0" w:firstRow="1" w:lastRow="0" w:firstColumn="1" w:lastColumn="0" w:noHBand="0" w:noVBand="1"/>
      </w:tblPr>
      <w:tblGrid>
        <w:gridCol w:w="9063"/>
      </w:tblGrid>
      <w:tr w:rsidR="0087657F" w:rsidRPr="0010507C" w14:paraId="2FF82C98" w14:textId="77777777" w:rsidTr="00E45665">
        <w:tc>
          <w:tcPr>
            <w:tcW w:w="9289" w:type="dxa"/>
          </w:tcPr>
          <w:p w14:paraId="17F25C6B" w14:textId="049BC99B" w:rsidR="0010507C" w:rsidRPr="004C3A8C" w:rsidRDefault="00934FB6" w:rsidP="0010507C">
            <w:pPr>
              <w:pStyle w:val="Personnequisigne"/>
              <w:rPr>
                <w:i w:val="0"/>
                <w:noProof/>
                <w:sz w:val="22"/>
              </w:rPr>
            </w:pPr>
            <w:r w:rsidRPr="004C3A8C">
              <w:rPr>
                <w:i w:val="0"/>
                <w:noProof/>
                <w:sz w:val="22"/>
              </w:rPr>
              <w:t xml:space="preserve">Main obstacle affecting the performance of projects under </w:t>
            </w:r>
            <w:r w:rsidR="004465EB" w:rsidRPr="004C3A8C">
              <w:rPr>
                <w:i w:val="0"/>
                <w:noProof/>
                <w:sz w:val="22"/>
              </w:rPr>
              <w:t xml:space="preserve">all </w:t>
            </w:r>
            <w:r w:rsidRPr="004C3A8C">
              <w:rPr>
                <w:i w:val="0"/>
                <w:noProof/>
                <w:sz w:val="22"/>
              </w:rPr>
              <w:t>S</w:t>
            </w:r>
            <w:r w:rsidR="004465EB" w:rsidRPr="004C3A8C">
              <w:rPr>
                <w:i w:val="0"/>
                <w:noProof/>
                <w:sz w:val="22"/>
              </w:rPr>
              <w:t>O</w:t>
            </w:r>
            <w:r w:rsidRPr="004C3A8C">
              <w:rPr>
                <w:i w:val="0"/>
                <w:noProof/>
                <w:sz w:val="22"/>
              </w:rPr>
              <w:t xml:space="preserve"> was the late approval of projects. Projects only received grant agreements in December 2022 / January 2023. T</w:t>
            </w:r>
            <w:r w:rsidR="007620E8" w:rsidRPr="004C3A8C">
              <w:rPr>
                <w:i w:val="0"/>
                <w:noProof/>
                <w:sz w:val="22"/>
              </w:rPr>
              <w:t>his caused delay with regard to</w:t>
            </w:r>
            <w:r w:rsidRPr="004C3A8C">
              <w:rPr>
                <w:i w:val="0"/>
                <w:noProof/>
                <w:sz w:val="22"/>
              </w:rPr>
              <w:t xml:space="preserve"> the start of the projects (hiring staff / starting p</w:t>
            </w:r>
            <w:r w:rsidR="0010507C" w:rsidRPr="004C3A8C">
              <w:rPr>
                <w:i w:val="0"/>
                <w:noProof/>
                <w:sz w:val="22"/>
              </w:rPr>
              <w:t xml:space="preserve">ublic procurement procedures). </w:t>
            </w:r>
          </w:p>
          <w:p w14:paraId="56EFC739" w14:textId="77777777" w:rsidR="00D55964" w:rsidRDefault="00D55964" w:rsidP="004C3A8C">
            <w:pPr>
              <w:pStyle w:val="Personnequisigne"/>
              <w:rPr>
                <w:i w:val="0"/>
                <w:sz w:val="22"/>
                <w:lang w:val="en-US"/>
              </w:rPr>
            </w:pPr>
          </w:p>
          <w:p w14:paraId="3D6A38F9" w14:textId="095D2F64" w:rsidR="004C3A8C" w:rsidRDefault="0010507C" w:rsidP="004C3A8C">
            <w:pPr>
              <w:pStyle w:val="Personnequisigne"/>
              <w:rPr>
                <w:i w:val="0"/>
                <w:sz w:val="22"/>
                <w:lang w:val="en-US"/>
              </w:rPr>
            </w:pPr>
            <w:r w:rsidRPr="004C3A8C">
              <w:rPr>
                <w:i w:val="0"/>
                <w:sz w:val="22"/>
                <w:lang w:val="en-US"/>
              </w:rPr>
              <w:t>In addition, the war in Ukraine has led to the arrival of many unaccompanied minors and has shifted the focus of attention, delaying some of SO1's activities.</w:t>
            </w:r>
          </w:p>
          <w:p w14:paraId="7D4A2EC2" w14:textId="77777777" w:rsidR="004C3A8C" w:rsidRDefault="004C3A8C" w:rsidP="004C3A8C">
            <w:pPr>
              <w:pStyle w:val="Personnequisigne"/>
              <w:rPr>
                <w:i w:val="0"/>
                <w:sz w:val="22"/>
                <w:lang w:val="en-US"/>
              </w:rPr>
            </w:pPr>
          </w:p>
          <w:p w14:paraId="261A952E" w14:textId="66058848" w:rsidR="004465EB" w:rsidRPr="004C3A8C" w:rsidRDefault="004465EB" w:rsidP="004C3A8C">
            <w:pPr>
              <w:pStyle w:val="Personnequisigne"/>
              <w:rPr>
                <w:i w:val="0"/>
                <w:noProof/>
                <w:sz w:val="22"/>
              </w:rPr>
            </w:pPr>
            <w:r w:rsidRPr="004C3A8C">
              <w:rPr>
                <w:i w:val="0"/>
                <w:noProof/>
                <w:sz w:val="22"/>
              </w:rPr>
              <w:t>As far as SO4 is concerned, major obstacles were:</w:t>
            </w:r>
          </w:p>
          <w:p w14:paraId="64D9C878" w14:textId="77777777" w:rsidR="004465EB" w:rsidRPr="004C3A8C" w:rsidRDefault="004465EB" w:rsidP="004C3A8C">
            <w:pPr>
              <w:pStyle w:val="Personnequisigne"/>
              <w:rPr>
                <w:i w:val="0"/>
                <w:noProof/>
                <w:sz w:val="22"/>
              </w:rPr>
            </w:pPr>
            <w:r w:rsidRPr="004C3A8C">
              <w:rPr>
                <w:i w:val="0"/>
                <w:noProof/>
                <w:sz w:val="22"/>
              </w:rPr>
              <w:t>1) The further spill-over of the Ukraine crisis and the pressure this puts on local cities and municipalities</w:t>
            </w:r>
          </w:p>
          <w:p w14:paraId="11EC9DBB" w14:textId="77777777" w:rsidR="004465EB" w:rsidRPr="004C3A8C" w:rsidRDefault="004465EB" w:rsidP="004C3A8C">
            <w:pPr>
              <w:pStyle w:val="Personnequisigne"/>
              <w:rPr>
                <w:i w:val="0"/>
                <w:noProof/>
                <w:sz w:val="22"/>
              </w:rPr>
            </w:pPr>
            <w:r w:rsidRPr="004C3A8C">
              <w:rPr>
                <w:i w:val="0"/>
                <w:noProof/>
                <w:sz w:val="22"/>
              </w:rPr>
              <w:lastRenderedPageBreak/>
              <w:t>o Workload and staff shortages at local cities and municipalities contribute to making resettlement/follow-up VIBs an additional challenge, on top of the already existing workload.</w:t>
            </w:r>
          </w:p>
          <w:p w14:paraId="3D6BC542" w14:textId="77777777" w:rsidR="004465EB" w:rsidRPr="004C3A8C" w:rsidRDefault="004465EB" w:rsidP="004C3A8C">
            <w:pPr>
              <w:pStyle w:val="Personnequisigne"/>
              <w:rPr>
                <w:i w:val="0"/>
                <w:noProof/>
                <w:sz w:val="22"/>
              </w:rPr>
            </w:pPr>
            <w:r w:rsidRPr="004C3A8C">
              <w:rPr>
                <w:i w:val="0"/>
                <w:noProof/>
                <w:sz w:val="22"/>
              </w:rPr>
              <w:t>o Housing crisis in Belgium.</w:t>
            </w:r>
          </w:p>
          <w:p w14:paraId="6A7B42E6" w14:textId="77777777" w:rsidR="004465EB" w:rsidRPr="004C3A8C" w:rsidRDefault="004465EB" w:rsidP="004C3A8C">
            <w:pPr>
              <w:pStyle w:val="Personnequisigne"/>
              <w:rPr>
                <w:i w:val="0"/>
                <w:noProof/>
                <w:sz w:val="22"/>
              </w:rPr>
            </w:pPr>
            <w:r w:rsidRPr="004C3A8C">
              <w:rPr>
                <w:i w:val="0"/>
                <w:noProof/>
                <w:sz w:val="22"/>
              </w:rPr>
              <w:t>2) Pressure on our reception network</w:t>
            </w:r>
          </w:p>
          <w:p w14:paraId="15C26E2A" w14:textId="77777777" w:rsidR="004465EB" w:rsidRPr="004C3A8C" w:rsidRDefault="004465EB" w:rsidP="004C3A8C">
            <w:pPr>
              <w:pStyle w:val="Personnequisigne"/>
              <w:rPr>
                <w:i w:val="0"/>
                <w:noProof/>
                <w:sz w:val="22"/>
              </w:rPr>
            </w:pPr>
            <w:r w:rsidRPr="004C3A8C">
              <w:rPr>
                <w:i w:val="0"/>
                <w:noProof/>
                <w:sz w:val="22"/>
              </w:rPr>
              <w:t xml:space="preserve">o Increased inflow - difficult / limited outflow, resulting in saturation of the reception network. </w:t>
            </w:r>
          </w:p>
          <w:p w14:paraId="5F08F75B" w14:textId="77777777" w:rsidR="004465EB" w:rsidRPr="004C3A8C" w:rsidRDefault="004465EB" w:rsidP="004C3A8C">
            <w:pPr>
              <w:pStyle w:val="Personnequisigne"/>
              <w:rPr>
                <w:i w:val="0"/>
                <w:noProof/>
                <w:sz w:val="22"/>
              </w:rPr>
            </w:pPr>
            <w:r w:rsidRPr="004C3A8C">
              <w:rPr>
                <w:i w:val="0"/>
                <w:noProof/>
                <w:sz w:val="22"/>
              </w:rPr>
              <w:t xml:space="preserve">o Little enthusiasm / possibilities among local cities and municipalities to create additional local reception initiatives despite various initiatives such as the Impulse Fund. </w:t>
            </w:r>
          </w:p>
          <w:p w14:paraId="76063D70" w14:textId="77777777" w:rsidR="004465EB" w:rsidRPr="004C3A8C" w:rsidRDefault="004465EB" w:rsidP="004C3A8C">
            <w:pPr>
              <w:pStyle w:val="Personnequisigne"/>
              <w:rPr>
                <w:i w:val="0"/>
                <w:noProof/>
                <w:sz w:val="22"/>
              </w:rPr>
            </w:pPr>
            <w:r w:rsidRPr="004C3A8C">
              <w:rPr>
                <w:i w:val="0"/>
                <w:noProof/>
                <w:sz w:val="22"/>
              </w:rPr>
              <w:t>o Despite various initiatives / calls to enlarge our reception network, many Local Reception Initiatives (LOIs) have been closed, and because of the difficulty in terms of outflow, also suspended.</w:t>
            </w:r>
          </w:p>
          <w:p w14:paraId="686FFAA7" w14:textId="77777777" w:rsidR="004465EB" w:rsidRPr="004C3A8C" w:rsidRDefault="004465EB" w:rsidP="004C3A8C">
            <w:pPr>
              <w:pStyle w:val="Personnequisigne"/>
              <w:rPr>
                <w:i w:val="0"/>
                <w:noProof/>
                <w:sz w:val="22"/>
              </w:rPr>
            </w:pPr>
            <w:r w:rsidRPr="004C3A8C">
              <w:rPr>
                <w:i w:val="0"/>
                <w:noProof/>
                <w:sz w:val="22"/>
              </w:rPr>
              <w:t xml:space="preserve">o It remains a difficult task to get residents to leave (in a timely manner), which is why homes in our network are suspended in large numbers. </w:t>
            </w:r>
          </w:p>
          <w:p w14:paraId="2AEFDA5F" w14:textId="77777777" w:rsidR="004465EB" w:rsidRPr="004C3A8C" w:rsidRDefault="004465EB" w:rsidP="004C3A8C">
            <w:pPr>
              <w:pStyle w:val="Personnequisigne"/>
              <w:rPr>
                <w:i w:val="0"/>
                <w:noProof/>
                <w:sz w:val="22"/>
              </w:rPr>
            </w:pPr>
            <w:r w:rsidRPr="004C3A8C">
              <w:rPr>
                <w:i w:val="0"/>
                <w:noProof/>
                <w:sz w:val="22"/>
              </w:rPr>
              <w:t>o The housing crisis in Belgium not only prevents recognised persons from leaving, this also prevents local administrations from finding sufficient and adapted housing to then use for our reception network.</w:t>
            </w:r>
          </w:p>
          <w:p w14:paraId="6623BCC6" w14:textId="77777777" w:rsidR="004465EB" w:rsidRPr="004C3A8C" w:rsidRDefault="004465EB" w:rsidP="004C3A8C">
            <w:pPr>
              <w:pStyle w:val="Personnequisigne"/>
              <w:rPr>
                <w:i w:val="0"/>
                <w:noProof/>
                <w:sz w:val="22"/>
              </w:rPr>
            </w:pPr>
            <w:r w:rsidRPr="004C3A8C">
              <w:rPr>
                <w:i w:val="0"/>
                <w:noProof/>
                <w:sz w:val="22"/>
              </w:rPr>
              <w:t xml:space="preserve">As consequence, Fedasil had to look for alternatives to carry out arrivals through resettlement. This mainly to ensure long-term continuity of operations and avoid having to shut down resettlement with every reception crisis: </w:t>
            </w:r>
          </w:p>
          <w:p w14:paraId="040DF404" w14:textId="77777777" w:rsidR="004465EB" w:rsidRPr="004C3A8C" w:rsidRDefault="004465EB" w:rsidP="004C3A8C">
            <w:pPr>
              <w:pStyle w:val="Personnequisigne"/>
              <w:rPr>
                <w:i w:val="0"/>
                <w:noProof/>
                <w:sz w:val="22"/>
              </w:rPr>
            </w:pPr>
            <w:r w:rsidRPr="004C3A8C">
              <w:rPr>
                <w:i w:val="0"/>
                <w:noProof/>
                <w:sz w:val="22"/>
              </w:rPr>
              <w:t xml:space="preserve">- Reception directly by family or friends is one of the new reception slots Fedasil has started using. </w:t>
            </w:r>
          </w:p>
          <w:p w14:paraId="678DD8EA" w14:textId="77777777" w:rsidR="00934FB6" w:rsidRDefault="004465EB" w:rsidP="004A3B98">
            <w:pPr>
              <w:pStyle w:val="Personnequisigne"/>
              <w:rPr>
                <w:i w:val="0"/>
                <w:noProof/>
                <w:sz w:val="22"/>
              </w:rPr>
            </w:pPr>
            <w:r w:rsidRPr="004C3A8C">
              <w:rPr>
                <w:i w:val="0"/>
                <w:noProof/>
                <w:sz w:val="22"/>
              </w:rPr>
              <w:t>- Fedasil continued to invest in developing the community sponsorship programme so that it would be a full-fledged part of the resettlement programme.</w:t>
            </w:r>
          </w:p>
          <w:p w14:paraId="6F29C1AE" w14:textId="52963576" w:rsidR="004A3B98" w:rsidRPr="004A3B98" w:rsidRDefault="004A3B98" w:rsidP="004A3B98">
            <w:pPr>
              <w:pStyle w:val="Institutionquisigne"/>
            </w:pPr>
          </w:p>
        </w:tc>
      </w:tr>
    </w:tbl>
    <w:p w14:paraId="5ED38AC6" w14:textId="3B9FF7D6" w:rsidR="0087657F" w:rsidRDefault="0005722E" w:rsidP="0005722E">
      <w:pPr>
        <w:pStyle w:val="ManualHeading2"/>
        <w:rPr>
          <w:noProof/>
        </w:rPr>
      </w:pPr>
      <w:r w:rsidRPr="0005722E">
        <w:lastRenderedPageBreak/>
        <w:t>1.3.</w:t>
      </w:r>
      <w:r w:rsidRPr="0005722E">
        <w:tab/>
      </w:r>
      <w:r w:rsidR="0087657F">
        <w:rPr>
          <w:noProof/>
        </w:rPr>
        <w:t>Specific mitigation measures</w:t>
      </w:r>
    </w:p>
    <w:p w14:paraId="747FB9AC" w14:textId="381C4BC3" w:rsidR="0087657F" w:rsidRDefault="0087657F" w:rsidP="0087657F">
      <w:pPr>
        <w:pStyle w:val="Titrearticle"/>
        <w:spacing w:before="120"/>
        <w:jc w:val="both"/>
        <w:rPr>
          <w:i w:val="0"/>
          <w:noProof/>
          <w:sz w:val="22"/>
        </w:rPr>
      </w:pPr>
      <w:r w:rsidRPr="00F924ED">
        <w:rPr>
          <w:b/>
          <w:i w:val="0"/>
          <w:noProof/>
          <w:sz w:val="22"/>
        </w:rPr>
        <w:t>If relevant</w:t>
      </w:r>
      <w:r>
        <w:rPr>
          <w:i w:val="0"/>
          <w:noProof/>
          <w:sz w:val="22"/>
        </w:rPr>
        <w:t xml:space="preserve">, </w:t>
      </w:r>
      <w:r w:rsidRPr="00450B1B">
        <w:rPr>
          <w:i w:val="0"/>
          <w:noProof/>
          <w:sz w:val="22"/>
        </w:rPr>
        <w:t xml:space="preserve">describe </w:t>
      </w:r>
      <w:r w:rsidR="00914B22" w:rsidRPr="00450B1B">
        <w:rPr>
          <w:i w:val="0"/>
          <w:noProof/>
          <w:sz w:val="22"/>
        </w:rPr>
        <w:t xml:space="preserve">briefly </w:t>
      </w:r>
      <w:r w:rsidRPr="00450B1B">
        <w:rPr>
          <w:i w:val="0"/>
          <w:noProof/>
          <w:sz w:val="22"/>
        </w:rPr>
        <w:t xml:space="preserve">how the programme activities contributed to mitigating the effects of any </w:t>
      </w:r>
      <w:r>
        <w:rPr>
          <w:i w:val="0"/>
          <w:noProof/>
          <w:sz w:val="22"/>
        </w:rPr>
        <w:t>sudden changes in the migratory pressure resulting from any unforeseen deterioration of the socio-economic or political situation</w:t>
      </w:r>
      <w:r w:rsidRPr="00450B1B">
        <w:rPr>
          <w:i w:val="0"/>
          <w:noProof/>
          <w:sz w:val="22"/>
        </w:rPr>
        <w:t xml:space="preserve"> </w:t>
      </w:r>
      <w:r>
        <w:rPr>
          <w:i w:val="0"/>
          <w:noProof/>
          <w:sz w:val="22"/>
        </w:rPr>
        <w:t xml:space="preserve">in relevant third countries. Whenever possible, refer to the volume of resources redeployed for </w:t>
      </w:r>
      <w:r w:rsidR="0072518C">
        <w:rPr>
          <w:i w:val="0"/>
          <w:noProof/>
          <w:sz w:val="22"/>
        </w:rPr>
        <w:t xml:space="preserve">this </w:t>
      </w:r>
      <w:r>
        <w:rPr>
          <w:i w:val="0"/>
          <w:noProof/>
          <w:sz w:val="22"/>
        </w:rPr>
        <w:t>purpose, and the related output</w:t>
      </w:r>
      <w:r w:rsidR="0072518C">
        <w:rPr>
          <w:i w:val="0"/>
          <w:noProof/>
          <w:sz w:val="22"/>
        </w:rPr>
        <w:t>s</w:t>
      </w:r>
      <w:r>
        <w:rPr>
          <w:i w:val="0"/>
          <w:noProof/>
          <w:sz w:val="22"/>
        </w:rPr>
        <w:t xml:space="preserve"> and results achieved. </w:t>
      </w:r>
    </w:p>
    <w:p w14:paraId="63030354" w14:textId="3093488A" w:rsidR="0087657F" w:rsidRPr="00450B1B" w:rsidRDefault="00A002B3" w:rsidP="0087657F">
      <w:pPr>
        <w:pStyle w:val="Titrearticle"/>
        <w:spacing w:before="120"/>
        <w:jc w:val="both"/>
        <w:rPr>
          <w:i w:val="0"/>
          <w:noProof/>
          <w:sz w:val="22"/>
        </w:rPr>
      </w:pPr>
      <w:r>
        <w:rPr>
          <w:i w:val="0"/>
          <w:noProof/>
          <w:sz w:val="22"/>
        </w:rPr>
        <w:t>P</w:t>
      </w:r>
      <w:r w:rsidR="0087657F">
        <w:rPr>
          <w:i w:val="0"/>
          <w:noProof/>
          <w:sz w:val="22"/>
        </w:rPr>
        <w:t xml:space="preserve">ay specific attention to activities carried out to mitigate </w:t>
      </w:r>
      <w:r w:rsidR="00B03A44">
        <w:rPr>
          <w:i w:val="0"/>
          <w:noProof/>
          <w:sz w:val="22"/>
        </w:rPr>
        <w:t xml:space="preserve">the effects of </w:t>
      </w:r>
      <w:r w:rsidR="0087657F">
        <w:rPr>
          <w:i w:val="0"/>
          <w:noProof/>
          <w:sz w:val="22"/>
        </w:rPr>
        <w:t xml:space="preserve">such sudden changes and whose achievements may not be fully captured by the common output and result indicators. </w:t>
      </w:r>
    </w:p>
    <w:tbl>
      <w:tblPr>
        <w:tblStyle w:val="Grilledutableau"/>
        <w:tblW w:w="0" w:type="auto"/>
        <w:tblLook w:val="04A0" w:firstRow="1" w:lastRow="0" w:firstColumn="1" w:lastColumn="0" w:noHBand="0" w:noVBand="1"/>
      </w:tblPr>
      <w:tblGrid>
        <w:gridCol w:w="9063"/>
      </w:tblGrid>
      <w:tr w:rsidR="0087657F" w14:paraId="6F5E2AC7" w14:textId="77777777" w:rsidTr="00E45665">
        <w:tc>
          <w:tcPr>
            <w:tcW w:w="9289" w:type="dxa"/>
          </w:tcPr>
          <w:p w14:paraId="35BD40DE" w14:textId="77777777" w:rsidR="00CA34C9" w:rsidRDefault="00CA34C9" w:rsidP="004A3B98">
            <w:pPr>
              <w:pStyle w:val="Personnequisigne"/>
              <w:rPr>
                <w:noProof/>
                <w:sz w:val="22"/>
              </w:rPr>
            </w:pPr>
            <w:r>
              <w:rPr>
                <w:noProof/>
                <w:sz w:val="22"/>
              </w:rPr>
              <w:t>Not applicable.</w:t>
            </w:r>
          </w:p>
          <w:p w14:paraId="05A3937F" w14:textId="1C3EF156" w:rsidR="004A3B98" w:rsidRPr="004A3B98" w:rsidRDefault="004A3B98" w:rsidP="004A3B98">
            <w:pPr>
              <w:pStyle w:val="Institutionquisigne"/>
            </w:pPr>
          </w:p>
        </w:tc>
      </w:tr>
    </w:tbl>
    <w:p w14:paraId="0A9C049D" w14:textId="22D7608E" w:rsidR="0087657F" w:rsidRDefault="0005722E" w:rsidP="0005722E">
      <w:pPr>
        <w:pStyle w:val="ManualHeading2"/>
        <w:rPr>
          <w:noProof/>
        </w:rPr>
      </w:pPr>
      <w:r w:rsidRPr="0005722E">
        <w:t>1.4.</w:t>
      </w:r>
      <w:r w:rsidRPr="0005722E">
        <w:tab/>
      </w:r>
      <w:r w:rsidR="0087657F">
        <w:rPr>
          <w:noProof/>
        </w:rPr>
        <w:t>Operating support –</w:t>
      </w:r>
      <w:r w:rsidR="00CF73D2">
        <w:rPr>
          <w:noProof/>
        </w:rPr>
        <w:t xml:space="preserve"> </w:t>
      </w:r>
      <w:r w:rsidR="006E268C">
        <w:rPr>
          <w:noProof/>
        </w:rPr>
        <w:t>A</w:t>
      </w:r>
      <w:r w:rsidR="0087657F">
        <w:rPr>
          <w:noProof/>
        </w:rPr>
        <w:t xml:space="preserve">rticle 21(3) of Regulation </w:t>
      </w:r>
      <w:r w:rsidR="0087657F" w:rsidRPr="00933D05">
        <w:rPr>
          <w:noProof/>
        </w:rPr>
        <w:t>(EU) 2021/1147</w:t>
      </w:r>
    </w:p>
    <w:p w14:paraId="1E69B94E" w14:textId="7B2561FE" w:rsidR="0087657F" w:rsidRDefault="00C62604" w:rsidP="0087657F">
      <w:pPr>
        <w:pStyle w:val="Titrearticle"/>
        <w:spacing w:before="120"/>
        <w:jc w:val="both"/>
        <w:rPr>
          <w:i w:val="0"/>
          <w:noProof/>
          <w:sz w:val="22"/>
        </w:rPr>
      </w:pPr>
      <w:r>
        <w:rPr>
          <w:i w:val="0"/>
          <w:noProof/>
          <w:sz w:val="22"/>
        </w:rPr>
        <w:t>If</w:t>
      </w:r>
      <w:r w:rsidR="0087657F">
        <w:rPr>
          <w:i w:val="0"/>
          <w:noProof/>
          <w:sz w:val="22"/>
        </w:rPr>
        <w:t xml:space="preserve"> operating support </w:t>
      </w:r>
      <w:r w:rsidR="001E3E4B">
        <w:rPr>
          <w:i w:val="0"/>
          <w:noProof/>
          <w:sz w:val="22"/>
        </w:rPr>
        <w:t>was</w:t>
      </w:r>
      <w:r w:rsidR="0087657F">
        <w:rPr>
          <w:i w:val="0"/>
          <w:noProof/>
          <w:sz w:val="22"/>
        </w:rPr>
        <w:t xml:space="preserve"> used during the accounting year, </w:t>
      </w:r>
      <w:r w:rsidR="0087657F" w:rsidRPr="00450B1B">
        <w:rPr>
          <w:i w:val="0"/>
          <w:noProof/>
          <w:sz w:val="22"/>
        </w:rPr>
        <w:t xml:space="preserve">describe how </w:t>
      </w:r>
      <w:r w:rsidR="0087657F">
        <w:rPr>
          <w:i w:val="0"/>
          <w:noProof/>
          <w:sz w:val="22"/>
        </w:rPr>
        <w:t xml:space="preserve">it </w:t>
      </w:r>
      <w:r w:rsidR="0087657F" w:rsidRPr="00450B1B">
        <w:rPr>
          <w:i w:val="0"/>
          <w:noProof/>
          <w:sz w:val="22"/>
        </w:rPr>
        <w:t>contribute</w:t>
      </w:r>
      <w:r w:rsidR="003E36B0">
        <w:rPr>
          <w:i w:val="0"/>
          <w:noProof/>
          <w:sz w:val="22"/>
        </w:rPr>
        <w:t>d</w:t>
      </w:r>
      <w:r w:rsidR="0087657F" w:rsidRPr="00450B1B">
        <w:rPr>
          <w:i w:val="0"/>
          <w:noProof/>
          <w:sz w:val="22"/>
        </w:rPr>
        <w:t xml:space="preserve"> to </w:t>
      </w:r>
      <w:r w:rsidR="009D7228">
        <w:rPr>
          <w:i w:val="0"/>
          <w:noProof/>
          <w:sz w:val="22"/>
        </w:rPr>
        <w:t>achieving</w:t>
      </w:r>
      <w:r w:rsidR="009D7228" w:rsidRPr="00450B1B">
        <w:rPr>
          <w:i w:val="0"/>
          <w:noProof/>
          <w:sz w:val="22"/>
        </w:rPr>
        <w:t xml:space="preserve"> </w:t>
      </w:r>
      <w:r w:rsidR="0087657F" w:rsidRPr="00450B1B">
        <w:rPr>
          <w:i w:val="0"/>
          <w:noProof/>
          <w:sz w:val="22"/>
        </w:rPr>
        <w:t xml:space="preserve">the objectives of the </w:t>
      </w:r>
      <w:r w:rsidR="004F5E71">
        <w:rPr>
          <w:i w:val="0"/>
          <w:noProof/>
          <w:sz w:val="22"/>
        </w:rPr>
        <w:t>f</w:t>
      </w:r>
      <w:r w:rsidR="0087657F" w:rsidRPr="00450B1B">
        <w:rPr>
          <w:i w:val="0"/>
          <w:noProof/>
          <w:sz w:val="22"/>
        </w:rPr>
        <w:t>und.</w:t>
      </w:r>
      <w:r w:rsidR="00CD67EB">
        <w:rPr>
          <w:rStyle w:val="Appelnotedebasdep"/>
          <w:i w:val="0"/>
          <w:noProof/>
          <w:sz w:val="22"/>
        </w:rPr>
        <w:footnoteReference w:id="7"/>
      </w:r>
      <w:r w:rsidR="0087657F" w:rsidRPr="00450B1B">
        <w:rPr>
          <w:i w:val="0"/>
          <w:noProof/>
          <w:sz w:val="22"/>
        </w:rPr>
        <w:t xml:space="preserve"> </w:t>
      </w:r>
    </w:p>
    <w:p w14:paraId="58F696A3" w14:textId="343CE633" w:rsidR="0087657F" w:rsidRPr="00BE1132" w:rsidRDefault="0048297F" w:rsidP="0087657F">
      <w:pPr>
        <w:pStyle w:val="Titrearticle"/>
        <w:spacing w:before="120"/>
        <w:jc w:val="both"/>
        <w:rPr>
          <w:i w:val="0"/>
          <w:noProof/>
          <w:sz w:val="22"/>
        </w:rPr>
      </w:pPr>
      <w:r w:rsidRPr="0048297F">
        <w:rPr>
          <w:i w:val="0"/>
          <w:noProof/>
          <w:sz w:val="22"/>
        </w:rPr>
        <w:t xml:space="preserve">If the total cumulative eligible cost of operating support for the operations selected for support exceeds </w:t>
      </w:r>
      <w:r>
        <w:rPr>
          <w:i w:val="0"/>
          <w:noProof/>
          <w:sz w:val="22"/>
        </w:rPr>
        <w:t>15</w:t>
      </w:r>
      <w:r w:rsidRPr="0048297F">
        <w:rPr>
          <w:i w:val="0"/>
          <w:noProof/>
          <w:sz w:val="22"/>
        </w:rPr>
        <w:t xml:space="preserve">% of the total programme allocation at the end of the accounting year, explain the reasons. </w:t>
      </w:r>
      <w:r w:rsidRPr="0048297F">
        <w:rPr>
          <w:i w:val="0"/>
          <w:noProof/>
          <w:sz w:val="22"/>
        </w:rPr>
        <w:lastRenderedPageBreak/>
        <w:t>Additionally, if there is a risk that the threshold is exceeded by the end of the programming period, describe the me</w:t>
      </w:r>
      <w:r w:rsidR="00F924ED">
        <w:rPr>
          <w:i w:val="0"/>
          <w:noProof/>
          <w:sz w:val="22"/>
        </w:rPr>
        <w:t>asures envisaged to mitigate it</w:t>
      </w:r>
      <w:r w:rsidR="0087657F" w:rsidRPr="001B7ADC">
        <w:rPr>
          <w:i w:val="0"/>
          <w:noProof/>
          <w:sz w:val="22"/>
        </w:rPr>
        <w:t xml:space="preserve">. </w:t>
      </w:r>
    </w:p>
    <w:tbl>
      <w:tblPr>
        <w:tblStyle w:val="Grilledutableau"/>
        <w:tblW w:w="0" w:type="auto"/>
        <w:tblLook w:val="04A0" w:firstRow="1" w:lastRow="0" w:firstColumn="1" w:lastColumn="0" w:noHBand="0" w:noVBand="1"/>
      </w:tblPr>
      <w:tblGrid>
        <w:gridCol w:w="9063"/>
      </w:tblGrid>
      <w:tr w:rsidR="0087657F" w:rsidRPr="0081558D" w14:paraId="537A195B" w14:textId="77777777" w:rsidTr="00E45665">
        <w:tc>
          <w:tcPr>
            <w:tcW w:w="9289" w:type="dxa"/>
          </w:tcPr>
          <w:p w14:paraId="59607D37" w14:textId="0609D330" w:rsidR="0087440A" w:rsidRDefault="00ED1C3C" w:rsidP="0087440A">
            <w:pPr>
              <w:pStyle w:val="Personnequisigne"/>
              <w:rPr>
                <w:i w:val="0"/>
                <w:noProof/>
                <w:sz w:val="22"/>
              </w:rPr>
            </w:pPr>
            <w:r w:rsidRPr="004C3A8C">
              <w:rPr>
                <w:i w:val="0"/>
                <w:noProof/>
                <w:sz w:val="22"/>
              </w:rPr>
              <w:t>Under SO1</w:t>
            </w:r>
            <w:r w:rsidR="001B098C" w:rsidRPr="004C3A8C">
              <w:rPr>
                <w:i w:val="0"/>
                <w:noProof/>
                <w:sz w:val="22"/>
              </w:rPr>
              <w:t xml:space="preserve"> an operating support </w:t>
            </w:r>
            <w:r w:rsidR="001B098C" w:rsidRPr="004D7325">
              <w:rPr>
                <w:i w:val="0"/>
                <w:noProof/>
                <w:sz w:val="22"/>
              </w:rPr>
              <w:t>project (</w:t>
            </w:r>
            <w:r w:rsidR="004D7325" w:rsidRPr="004D7325">
              <w:rPr>
                <w:i w:val="0"/>
                <w:noProof/>
                <w:sz w:val="22"/>
              </w:rPr>
              <w:t xml:space="preserve">868.667,07 </w:t>
            </w:r>
            <w:r w:rsidR="001B098C" w:rsidRPr="004D7325">
              <w:rPr>
                <w:i w:val="0"/>
                <w:noProof/>
                <w:sz w:val="22"/>
              </w:rPr>
              <w:t>EUR)</w:t>
            </w:r>
            <w:r w:rsidR="001B098C" w:rsidRPr="004C3A8C">
              <w:rPr>
                <w:i w:val="0"/>
                <w:noProof/>
                <w:sz w:val="22"/>
              </w:rPr>
              <w:t xml:space="preserve"> has been selected with the aim</w:t>
            </w:r>
            <w:r w:rsidRPr="004C3A8C">
              <w:rPr>
                <w:i w:val="0"/>
                <w:noProof/>
                <w:sz w:val="22"/>
              </w:rPr>
              <w:t xml:space="preserve"> to produce statis</w:t>
            </w:r>
            <w:r w:rsidR="001B098C" w:rsidRPr="004C3A8C">
              <w:rPr>
                <w:i w:val="0"/>
                <w:noProof/>
                <w:sz w:val="22"/>
              </w:rPr>
              <w:t xml:space="preserve">tics on international protection </w:t>
            </w:r>
            <w:r w:rsidR="004A3B98">
              <w:rPr>
                <w:i w:val="0"/>
                <w:noProof/>
                <w:sz w:val="22"/>
              </w:rPr>
              <w:t xml:space="preserve">and </w:t>
            </w:r>
            <w:r w:rsidR="001B098C" w:rsidRPr="004C3A8C">
              <w:rPr>
                <w:i w:val="0"/>
                <w:noProof/>
                <w:sz w:val="22"/>
              </w:rPr>
              <w:t>to meet European obligatio</w:t>
            </w:r>
            <w:r w:rsidRPr="004C3A8C">
              <w:rPr>
                <w:i w:val="0"/>
                <w:noProof/>
                <w:sz w:val="22"/>
              </w:rPr>
              <w:t>n</w:t>
            </w:r>
            <w:r w:rsidR="001B098C" w:rsidRPr="004C3A8C">
              <w:rPr>
                <w:i w:val="0"/>
                <w:noProof/>
                <w:sz w:val="22"/>
              </w:rPr>
              <w:t>s</w:t>
            </w:r>
            <w:r w:rsidRPr="004C3A8C">
              <w:rPr>
                <w:i w:val="0"/>
                <w:noProof/>
                <w:sz w:val="22"/>
              </w:rPr>
              <w:t xml:space="preserve"> (mainly Eurostat, EASO and Frontex). It has been launched at administrative level</w:t>
            </w:r>
            <w:r w:rsidR="001B098C" w:rsidRPr="004C3A8C">
              <w:rPr>
                <w:i w:val="0"/>
                <w:noProof/>
                <w:sz w:val="22"/>
              </w:rPr>
              <w:t xml:space="preserve"> (procedures to hire project staff). S</w:t>
            </w:r>
            <w:r w:rsidRPr="004C3A8C">
              <w:rPr>
                <w:i w:val="0"/>
                <w:noProof/>
                <w:sz w:val="22"/>
              </w:rPr>
              <w:t>ome sta</w:t>
            </w:r>
            <w:r w:rsidR="001B098C" w:rsidRPr="004C3A8C">
              <w:rPr>
                <w:i w:val="0"/>
                <w:noProof/>
                <w:sz w:val="22"/>
              </w:rPr>
              <w:t>tistic works related to international protection could be initiated, there was a participation at the development of a data warehouse (to be ab</w:t>
            </w:r>
            <w:r w:rsidR="004A3B98">
              <w:rPr>
                <w:i w:val="0"/>
                <w:noProof/>
                <w:sz w:val="22"/>
              </w:rPr>
              <w:t>le to extract statistical data)</w:t>
            </w:r>
            <w:r w:rsidR="001B098C" w:rsidRPr="004C3A8C">
              <w:rPr>
                <w:i w:val="0"/>
                <w:noProof/>
                <w:sz w:val="22"/>
              </w:rPr>
              <w:t xml:space="preserve"> and statistics were delivered to the European Commission (Eurostat). </w:t>
            </w:r>
          </w:p>
          <w:p w14:paraId="03A6D3DF" w14:textId="77777777" w:rsidR="0087440A" w:rsidRDefault="0087440A" w:rsidP="0087440A">
            <w:pPr>
              <w:pStyle w:val="Personnequisigne"/>
              <w:rPr>
                <w:i w:val="0"/>
                <w:noProof/>
                <w:sz w:val="22"/>
              </w:rPr>
            </w:pPr>
          </w:p>
          <w:p w14:paraId="5570CC95" w14:textId="362BF290" w:rsidR="00CA34C9" w:rsidRDefault="0081558D" w:rsidP="004A3B98">
            <w:pPr>
              <w:pStyle w:val="Personnequisigne"/>
              <w:rPr>
                <w:i w:val="0"/>
                <w:noProof/>
                <w:sz w:val="22"/>
              </w:rPr>
            </w:pPr>
            <w:r w:rsidRPr="004C3A8C">
              <w:rPr>
                <w:i w:val="0"/>
                <w:noProof/>
                <w:sz w:val="22"/>
              </w:rPr>
              <w:t xml:space="preserve">Within SO3 an operating support project has been </w:t>
            </w:r>
            <w:r w:rsidR="001A60E2" w:rsidRPr="004C3A8C">
              <w:rPr>
                <w:i w:val="0"/>
                <w:noProof/>
                <w:sz w:val="22"/>
              </w:rPr>
              <w:t>a</w:t>
            </w:r>
            <w:r w:rsidRPr="004C3A8C">
              <w:rPr>
                <w:i w:val="0"/>
                <w:noProof/>
                <w:sz w:val="22"/>
              </w:rPr>
              <w:t xml:space="preserve">warded to the General Inspectorate of the Federal Police (AIG) through a direct award with the total amount of 1,499,999.22 EUR. AIG has </w:t>
            </w:r>
            <w:r w:rsidR="004A3B98">
              <w:rPr>
                <w:i w:val="0"/>
                <w:noProof/>
                <w:sz w:val="22"/>
              </w:rPr>
              <w:t>i</w:t>
            </w:r>
            <w:r w:rsidRPr="004C3A8C">
              <w:rPr>
                <w:i w:val="0"/>
                <w:noProof/>
                <w:sz w:val="22"/>
              </w:rPr>
              <w:t>s the only responsible body for execution and monitoring of forced returns in Belgium (Royal Decree 19/06/2012). As such, AIG is responsible for the implementation of the Return Directive 2008/115/EC. In this respect, AIG has carried out several activities during the reporting period: 107 boarding controls (including 2 controls supported by Frontex); training of 7 officers on the job and on techniques for accompanying forced returns; and 1 control to the country of destination. AIG has also been active on the international level, for example by taking part in a workshop on examples of forced return in practice organised by the Portuguese counterpart and an online webinar on returns organised by the ICMPD and Frontex. The main obstacle was the delay in hiring staff due to the timing of grant agreements (December 2022/January 2023), which has limited the capacities in monitoring of returns.</w:t>
            </w:r>
          </w:p>
          <w:p w14:paraId="06FDD8FD" w14:textId="363CCC27" w:rsidR="004A3B98" w:rsidRPr="004A3B98" w:rsidRDefault="004A3B98" w:rsidP="004A3B98">
            <w:pPr>
              <w:pStyle w:val="Institutionquisigne"/>
            </w:pPr>
          </w:p>
        </w:tc>
      </w:tr>
    </w:tbl>
    <w:p w14:paraId="3AEA5ACF" w14:textId="6AD90666" w:rsidR="0087657F" w:rsidRPr="007C5943" w:rsidRDefault="0005722E" w:rsidP="0005722E">
      <w:pPr>
        <w:pStyle w:val="ManualHeading2"/>
        <w:rPr>
          <w:noProof/>
        </w:rPr>
      </w:pPr>
      <w:r w:rsidRPr="0005722E">
        <w:t>1.5.</w:t>
      </w:r>
      <w:r w:rsidRPr="0005722E">
        <w:tab/>
      </w:r>
      <w:r w:rsidR="0087657F" w:rsidRPr="00BE1132">
        <w:rPr>
          <w:noProof/>
        </w:rPr>
        <w:t xml:space="preserve">Specific </w:t>
      </w:r>
      <w:r w:rsidR="00D70BC5">
        <w:rPr>
          <w:noProof/>
        </w:rPr>
        <w:t>a</w:t>
      </w:r>
      <w:r w:rsidR="0087657F" w:rsidRPr="00BE1132">
        <w:rPr>
          <w:noProof/>
        </w:rPr>
        <w:t>ctions</w:t>
      </w:r>
      <w:r w:rsidR="0037290B">
        <w:rPr>
          <w:rStyle w:val="Appelnotedebasdep"/>
          <w:noProof/>
        </w:rPr>
        <w:footnoteReference w:id="8"/>
      </w:r>
      <w:r w:rsidR="0087657F" w:rsidRPr="0084257B">
        <w:rPr>
          <w:noProof/>
        </w:rPr>
        <w:t xml:space="preserve">   </w:t>
      </w:r>
    </w:p>
    <w:p w14:paraId="4BAA9948" w14:textId="5465624F" w:rsidR="0087657F" w:rsidRPr="0037290B" w:rsidRDefault="00804283" w:rsidP="0087657F">
      <w:pPr>
        <w:pStyle w:val="Titrearticle"/>
        <w:spacing w:before="120"/>
        <w:jc w:val="both"/>
        <w:rPr>
          <w:i w:val="0"/>
          <w:noProof/>
          <w:sz w:val="22"/>
        </w:rPr>
      </w:pPr>
      <w:r>
        <w:rPr>
          <w:i w:val="0"/>
          <w:noProof/>
          <w:sz w:val="22"/>
        </w:rPr>
        <w:t>D</w:t>
      </w:r>
      <w:r w:rsidR="0087657F" w:rsidRPr="0037290B">
        <w:rPr>
          <w:i w:val="0"/>
          <w:noProof/>
          <w:sz w:val="22"/>
        </w:rPr>
        <w:t>escribe the main achievements of any specific action</w:t>
      </w:r>
      <w:r w:rsidR="00254824">
        <w:rPr>
          <w:i w:val="0"/>
          <w:noProof/>
          <w:sz w:val="22"/>
        </w:rPr>
        <w:t>s</w:t>
      </w:r>
      <w:r w:rsidR="0087657F" w:rsidRPr="0037290B">
        <w:rPr>
          <w:i w:val="0"/>
          <w:noProof/>
          <w:sz w:val="22"/>
        </w:rPr>
        <w:t xml:space="preserve"> </w:t>
      </w:r>
      <w:r w:rsidR="0032373D">
        <w:rPr>
          <w:i w:val="0"/>
          <w:noProof/>
          <w:sz w:val="22"/>
        </w:rPr>
        <w:t>carried out</w:t>
      </w:r>
      <w:r w:rsidR="0032373D" w:rsidRPr="0037290B">
        <w:rPr>
          <w:i w:val="0"/>
          <w:noProof/>
          <w:sz w:val="22"/>
        </w:rPr>
        <w:t xml:space="preserve"> </w:t>
      </w:r>
      <w:r w:rsidR="0087657F" w:rsidRPr="0037290B">
        <w:rPr>
          <w:i w:val="0"/>
          <w:noProof/>
          <w:sz w:val="22"/>
        </w:rPr>
        <w:t>during the accounting year, and how they contribute</w:t>
      </w:r>
      <w:r w:rsidR="00254824">
        <w:rPr>
          <w:i w:val="0"/>
          <w:noProof/>
          <w:sz w:val="22"/>
        </w:rPr>
        <w:t>d</w:t>
      </w:r>
      <w:r w:rsidR="0087657F" w:rsidRPr="0037290B">
        <w:rPr>
          <w:i w:val="0"/>
          <w:noProof/>
          <w:sz w:val="22"/>
        </w:rPr>
        <w:t xml:space="preserve"> to </w:t>
      </w:r>
      <w:r w:rsidR="0032373D" w:rsidRPr="0037290B">
        <w:rPr>
          <w:i w:val="0"/>
          <w:noProof/>
          <w:sz w:val="22"/>
        </w:rPr>
        <w:t xml:space="preserve">achieving the objectives of the programme </w:t>
      </w:r>
      <w:r w:rsidR="0032373D">
        <w:rPr>
          <w:i w:val="0"/>
          <w:noProof/>
          <w:sz w:val="22"/>
        </w:rPr>
        <w:t>and</w:t>
      </w:r>
      <w:r w:rsidR="0087657F" w:rsidRPr="0037290B">
        <w:rPr>
          <w:i w:val="0"/>
          <w:noProof/>
          <w:sz w:val="22"/>
        </w:rPr>
        <w:t xml:space="preserve"> to generating </w:t>
      </w:r>
      <w:r w:rsidR="00E36216">
        <w:rPr>
          <w:i w:val="0"/>
          <w:noProof/>
          <w:sz w:val="22"/>
        </w:rPr>
        <w:t>Union</w:t>
      </w:r>
      <w:r w:rsidR="00E36216" w:rsidRPr="0037290B">
        <w:rPr>
          <w:i w:val="0"/>
          <w:noProof/>
          <w:sz w:val="22"/>
        </w:rPr>
        <w:t xml:space="preserve"> </w:t>
      </w:r>
      <w:r w:rsidR="0087657F" w:rsidRPr="0037290B">
        <w:rPr>
          <w:i w:val="0"/>
          <w:noProof/>
          <w:sz w:val="22"/>
        </w:rPr>
        <w:t>added value</w:t>
      </w:r>
      <w:r w:rsidR="00AE5AA2">
        <w:rPr>
          <w:i w:val="0"/>
          <w:noProof/>
          <w:sz w:val="22"/>
        </w:rPr>
        <w:t>.</w:t>
      </w:r>
      <w:r w:rsidR="00E80570">
        <w:rPr>
          <w:rStyle w:val="Appelnotedebasdep"/>
          <w:i w:val="0"/>
          <w:noProof/>
          <w:sz w:val="22"/>
        </w:rPr>
        <w:footnoteReference w:id="9"/>
      </w:r>
      <w:r w:rsidR="0087657F" w:rsidRPr="0037290B">
        <w:rPr>
          <w:i w:val="0"/>
          <w:noProof/>
          <w:sz w:val="22"/>
        </w:rPr>
        <w:t xml:space="preserve">  </w:t>
      </w:r>
    </w:p>
    <w:p w14:paraId="7DEF77B3" w14:textId="77777777" w:rsidR="00CD67EB" w:rsidRDefault="00804283" w:rsidP="0087657F">
      <w:pPr>
        <w:pStyle w:val="Titrearticle"/>
        <w:spacing w:before="120"/>
        <w:jc w:val="both"/>
        <w:rPr>
          <w:i w:val="0"/>
          <w:noProof/>
          <w:sz w:val="22"/>
        </w:rPr>
      </w:pPr>
      <w:r>
        <w:rPr>
          <w:i w:val="0"/>
          <w:noProof/>
          <w:sz w:val="22"/>
        </w:rPr>
        <w:t>D</w:t>
      </w:r>
      <w:r w:rsidR="0087657F" w:rsidRPr="0037290B">
        <w:rPr>
          <w:i w:val="0"/>
          <w:noProof/>
          <w:sz w:val="22"/>
        </w:rPr>
        <w:t xml:space="preserve">escribe </w:t>
      </w:r>
      <w:r w:rsidR="001E3E4B">
        <w:rPr>
          <w:i w:val="0"/>
          <w:noProof/>
          <w:sz w:val="22"/>
        </w:rPr>
        <w:t xml:space="preserve">how </w:t>
      </w:r>
      <w:r w:rsidR="0087657F" w:rsidRPr="0037290B">
        <w:rPr>
          <w:i w:val="0"/>
          <w:noProof/>
          <w:sz w:val="22"/>
        </w:rPr>
        <w:t xml:space="preserve">the </w:t>
      </w:r>
      <w:r w:rsidR="001E3E4B" w:rsidRPr="0037290B">
        <w:rPr>
          <w:i w:val="0"/>
          <w:noProof/>
          <w:sz w:val="22"/>
        </w:rPr>
        <w:t xml:space="preserve">individual actions </w:t>
      </w:r>
      <w:r w:rsidR="001E3E4B">
        <w:rPr>
          <w:i w:val="0"/>
          <w:noProof/>
          <w:sz w:val="22"/>
        </w:rPr>
        <w:t xml:space="preserve">have advanced, both </w:t>
      </w:r>
      <w:r w:rsidR="00122018" w:rsidRPr="0037290B">
        <w:rPr>
          <w:i w:val="0"/>
          <w:noProof/>
          <w:sz w:val="22"/>
        </w:rPr>
        <w:t>procedural</w:t>
      </w:r>
      <w:r w:rsidR="00122018">
        <w:rPr>
          <w:i w:val="0"/>
          <w:noProof/>
          <w:sz w:val="22"/>
        </w:rPr>
        <w:t>ly</w:t>
      </w:r>
      <w:r w:rsidR="00122018">
        <w:rPr>
          <w:rStyle w:val="Appelnotedebasdep"/>
          <w:i w:val="0"/>
          <w:noProof/>
          <w:sz w:val="22"/>
        </w:rPr>
        <w:footnoteReference w:id="10"/>
      </w:r>
      <w:r w:rsidR="00122018" w:rsidRPr="0037290B">
        <w:rPr>
          <w:i w:val="0"/>
          <w:noProof/>
          <w:sz w:val="22"/>
        </w:rPr>
        <w:t xml:space="preserve"> </w:t>
      </w:r>
      <w:r w:rsidR="00122018">
        <w:rPr>
          <w:i w:val="0"/>
          <w:noProof/>
          <w:sz w:val="22"/>
        </w:rPr>
        <w:t xml:space="preserve">and </w:t>
      </w:r>
      <w:r w:rsidR="0087657F" w:rsidRPr="0037290B">
        <w:rPr>
          <w:i w:val="0"/>
          <w:noProof/>
          <w:sz w:val="22"/>
        </w:rPr>
        <w:t>operational</w:t>
      </w:r>
      <w:r w:rsidR="001E3E4B">
        <w:rPr>
          <w:i w:val="0"/>
          <w:noProof/>
          <w:sz w:val="22"/>
        </w:rPr>
        <w:t>ly</w:t>
      </w:r>
      <w:r w:rsidR="00122018">
        <w:rPr>
          <w:rStyle w:val="Appelnotedebasdep"/>
          <w:i w:val="0"/>
          <w:noProof/>
          <w:sz w:val="22"/>
        </w:rPr>
        <w:footnoteReference w:id="11"/>
      </w:r>
      <w:r w:rsidR="0087657F" w:rsidRPr="0037290B">
        <w:rPr>
          <w:i w:val="0"/>
          <w:noProof/>
          <w:sz w:val="22"/>
        </w:rPr>
        <w:t xml:space="preserve"> and highlight any issues affecting the</w:t>
      </w:r>
      <w:r w:rsidR="001E0672">
        <w:rPr>
          <w:i w:val="0"/>
          <w:noProof/>
          <w:sz w:val="22"/>
        </w:rPr>
        <w:t>ir</w:t>
      </w:r>
      <w:r w:rsidR="0087657F" w:rsidRPr="0037290B">
        <w:rPr>
          <w:i w:val="0"/>
          <w:noProof/>
          <w:sz w:val="22"/>
        </w:rPr>
        <w:t xml:space="preserve"> performance, in particular any risk of underspending. </w:t>
      </w:r>
    </w:p>
    <w:p w14:paraId="6AC73014" w14:textId="59C53783" w:rsidR="0087657F" w:rsidRPr="0037290B" w:rsidRDefault="0087657F" w:rsidP="0087657F">
      <w:pPr>
        <w:pStyle w:val="Titrearticle"/>
        <w:spacing w:before="120"/>
        <w:jc w:val="both"/>
        <w:rPr>
          <w:i w:val="0"/>
          <w:noProof/>
          <w:sz w:val="22"/>
        </w:rPr>
      </w:pPr>
      <w:r w:rsidRPr="0037290B">
        <w:rPr>
          <w:i w:val="0"/>
          <w:noProof/>
          <w:sz w:val="22"/>
        </w:rPr>
        <w:t xml:space="preserve">If relevant, </w:t>
      </w:r>
      <w:r w:rsidR="006968E5">
        <w:rPr>
          <w:i w:val="0"/>
          <w:noProof/>
          <w:sz w:val="22"/>
        </w:rPr>
        <w:t xml:space="preserve">break </w:t>
      </w:r>
      <w:r w:rsidR="00ED3E23">
        <w:rPr>
          <w:i w:val="0"/>
          <w:noProof/>
          <w:sz w:val="22"/>
        </w:rPr>
        <w:t>this</w:t>
      </w:r>
      <w:r w:rsidRPr="0037290B">
        <w:rPr>
          <w:i w:val="0"/>
          <w:noProof/>
          <w:sz w:val="22"/>
        </w:rPr>
        <w:t xml:space="preserve"> information </w:t>
      </w:r>
      <w:r w:rsidR="006968E5">
        <w:rPr>
          <w:i w:val="0"/>
          <w:noProof/>
          <w:sz w:val="22"/>
        </w:rPr>
        <w:t>down to</w:t>
      </w:r>
      <w:r w:rsidR="006968E5" w:rsidRPr="0037290B">
        <w:rPr>
          <w:i w:val="0"/>
          <w:noProof/>
          <w:sz w:val="22"/>
        </w:rPr>
        <w:t xml:space="preserve"> </w:t>
      </w:r>
      <w:r w:rsidRPr="0037290B">
        <w:rPr>
          <w:i w:val="0"/>
          <w:noProof/>
          <w:sz w:val="22"/>
        </w:rPr>
        <w:t xml:space="preserve">the project level. </w:t>
      </w:r>
      <w:r w:rsidR="00C62604">
        <w:rPr>
          <w:i w:val="0"/>
          <w:noProof/>
          <w:sz w:val="22"/>
        </w:rPr>
        <w:t xml:space="preserve">If </w:t>
      </w:r>
      <w:r w:rsidR="003E36B0">
        <w:rPr>
          <w:i w:val="0"/>
          <w:noProof/>
          <w:sz w:val="22"/>
        </w:rPr>
        <w:t>any</w:t>
      </w:r>
      <w:r w:rsidRPr="0037290B">
        <w:rPr>
          <w:i w:val="0"/>
          <w:noProof/>
          <w:sz w:val="22"/>
        </w:rPr>
        <w:t xml:space="preserve"> deviation from the original planning is expected, </w:t>
      </w:r>
      <w:r w:rsidR="003E36B0">
        <w:rPr>
          <w:i w:val="0"/>
          <w:noProof/>
          <w:sz w:val="22"/>
        </w:rPr>
        <w:t>explain</w:t>
      </w:r>
      <w:r w:rsidR="003E36B0" w:rsidRPr="0037290B">
        <w:rPr>
          <w:i w:val="0"/>
          <w:noProof/>
          <w:sz w:val="22"/>
        </w:rPr>
        <w:t xml:space="preserve"> </w:t>
      </w:r>
      <w:r w:rsidRPr="0037290B">
        <w:rPr>
          <w:i w:val="0"/>
          <w:noProof/>
          <w:sz w:val="22"/>
        </w:rPr>
        <w:t>the reason</w:t>
      </w:r>
      <w:r w:rsidR="003E36B0">
        <w:rPr>
          <w:i w:val="0"/>
          <w:noProof/>
          <w:sz w:val="22"/>
        </w:rPr>
        <w:t>s</w:t>
      </w:r>
      <w:r w:rsidRPr="0037290B">
        <w:rPr>
          <w:i w:val="0"/>
          <w:noProof/>
          <w:sz w:val="22"/>
        </w:rPr>
        <w:t xml:space="preserve"> for </w:t>
      </w:r>
      <w:r w:rsidR="00ED3E23">
        <w:rPr>
          <w:i w:val="0"/>
          <w:noProof/>
          <w:sz w:val="22"/>
        </w:rPr>
        <w:t>this</w:t>
      </w:r>
      <w:r w:rsidRPr="0037290B">
        <w:rPr>
          <w:i w:val="0"/>
          <w:noProof/>
          <w:sz w:val="22"/>
        </w:rPr>
        <w:t xml:space="preserve">, </w:t>
      </w:r>
      <w:r w:rsidR="003E36B0">
        <w:rPr>
          <w:i w:val="0"/>
          <w:noProof/>
          <w:sz w:val="22"/>
        </w:rPr>
        <w:t>describe</w:t>
      </w:r>
      <w:r w:rsidRPr="0037290B">
        <w:rPr>
          <w:i w:val="0"/>
          <w:noProof/>
          <w:sz w:val="22"/>
        </w:rPr>
        <w:t xml:space="preserve"> any mitigating actions taken</w:t>
      </w:r>
      <w:r w:rsidR="003E36B0">
        <w:rPr>
          <w:i w:val="0"/>
          <w:noProof/>
          <w:sz w:val="22"/>
        </w:rPr>
        <w:t>,</w:t>
      </w:r>
      <w:r w:rsidRPr="0037290B">
        <w:rPr>
          <w:i w:val="0"/>
          <w:noProof/>
          <w:sz w:val="22"/>
        </w:rPr>
        <w:t xml:space="preserve"> and </w:t>
      </w:r>
      <w:r w:rsidR="006968E5">
        <w:rPr>
          <w:i w:val="0"/>
          <w:noProof/>
          <w:sz w:val="22"/>
        </w:rPr>
        <w:t xml:space="preserve">provide </w:t>
      </w:r>
      <w:r w:rsidRPr="0037290B">
        <w:rPr>
          <w:i w:val="0"/>
          <w:noProof/>
          <w:sz w:val="22"/>
        </w:rPr>
        <w:t>the revised timetable.</w:t>
      </w:r>
    </w:p>
    <w:tbl>
      <w:tblPr>
        <w:tblStyle w:val="Grilledutableau"/>
        <w:tblW w:w="0" w:type="auto"/>
        <w:tblLook w:val="04A0" w:firstRow="1" w:lastRow="0" w:firstColumn="1" w:lastColumn="0" w:noHBand="0" w:noVBand="1"/>
      </w:tblPr>
      <w:tblGrid>
        <w:gridCol w:w="9063"/>
      </w:tblGrid>
      <w:tr w:rsidR="0087657F" w:rsidRPr="003779C4" w14:paraId="7FDA572C" w14:textId="77777777" w:rsidTr="00E45665">
        <w:tc>
          <w:tcPr>
            <w:tcW w:w="9289" w:type="dxa"/>
          </w:tcPr>
          <w:p w14:paraId="404DE4CC" w14:textId="75B43C2E" w:rsidR="00044A31" w:rsidRPr="0087440A" w:rsidRDefault="00044A31" w:rsidP="00044A31">
            <w:pPr>
              <w:pStyle w:val="Personnequisigne"/>
              <w:jc w:val="both"/>
              <w:rPr>
                <w:i w:val="0"/>
                <w:noProof/>
                <w:sz w:val="22"/>
              </w:rPr>
            </w:pPr>
            <w:r w:rsidRPr="0087440A">
              <w:rPr>
                <w:i w:val="0"/>
                <w:noProof/>
                <w:sz w:val="22"/>
              </w:rPr>
              <w:t>During the reference period, one Specific Action was selected and launched : Projet “VONA</w:t>
            </w:r>
            <w:r w:rsidR="00B0287F">
              <w:rPr>
                <w:i w:val="0"/>
                <w:noProof/>
                <w:sz w:val="22"/>
              </w:rPr>
              <w:t xml:space="preserve"> </w:t>
            </w:r>
            <w:r w:rsidR="00553F2F" w:rsidRPr="00553F2F">
              <w:rPr>
                <w:i w:val="0"/>
                <w:noProof/>
                <w:sz w:val="22"/>
              </w:rPr>
              <w:t>– Enhancing gender-sensitive and trauma-informed victim support in Belgium</w:t>
            </w:r>
            <w:r w:rsidRPr="0087440A">
              <w:rPr>
                <w:i w:val="0"/>
                <w:noProof/>
                <w:sz w:val="22"/>
              </w:rPr>
              <w:t xml:space="preserve">” implemented </w:t>
            </w:r>
            <w:r w:rsidR="00590E8A">
              <w:rPr>
                <w:i w:val="0"/>
                <w:noProof/>
                <w:sz w:val="22"/>
              </w:rPr>
              <w:t xml:space="preserve">by </w:t>
            </w:r>
            <w:r w:rsidRPr="0087440A">
              <w:rPr>
                <w:i w:val="0"/>
                <w:noProof/>
                <w:sz w:val="22"/>
              </w:rPr>
              <w:t xml:space="preserve">Payoke (AMIF/2022/SA/2.4.1_001). During the </w:t>
            </w:r>
            <w:r w:rsidR="0087440A" w:rsidRPr="0087440A">
              <w:rPr>
                <w:i w:val="0"/>
                <w:noProof/>
                <w:sz w:val="22"/>
              </w:rPr>
              <w:t xml:space="preserve">reference period </w:t>
            </w:r>
            <w:r w:rsidRPr="0087440A">
              <w:rPr>
                <w:i w:val="0"/>
                <w:noProof/>
                <w:sz w:val="22"/>
              </w:rPr>
              <w:t>actions have been around : staff training, gender sensitive capacity building and direct assistance.</w:t>
            </w:r>
          </w:p>
          <w:p w14:paraId="074F37DC" w14:textId="4091B471" w:rsidR="00044A31" w:rsidRPr="0087440A" w:rsidRDefault="001A60E2" w:rsidP="00044A31">
            <w:pPr>
              <w:pStyle w:val="Institutionquisigne"/>
              <w:spacing w:before="240" w:after="240" w:line="276" w:lineRule="auto"/>
              <w:rPr>
                <w:i w:val="0"/>
                <w:noProof/>
                <w:sz w:val="22"/>
              </w:rPr>
            </w:pPr>
            <w:r w:rsidRPr="0087440A">
              <w:rPr>
                <w:i w:val="0"/>
                <w:noProof/>
                <w:sz w:val="22"/>
              </w:rPr>
              <w:t>Based on their experi</w:t>
            </w:r>
            <w:r w:rsidR="00044A31" w:rsidRPr="0087440A">
              <w:rPr>
                <w:i w:val="0"/>
                <w:noProof/>
                <w:sz w:val="22"/>
              </w:rPr>
              <w:t xml:space="preserve">ence in the matter of assistance to adult victims of human trafficking, the three government recognized centers (Payoke and the two partners for this project : PAG-ASA and Sürya) conducted or prepared trauma-informed care training for their respective staffs. They also appointed gender focal point (one saff member per center in charge mainstreaming gender-appropriate measures </w:t>
            </w:r>
            <w:r w:rsidR="00044A31" w:rsidRPr="0087440A">
              <w:rPr>
                <w:i w:val="0"/>
                <w:noProof/>
                <w:sz w:val="22"/>
              </w:rPr>
              <w:lastRenderedPageBreak/>
              <w:t>throughout the centers’ programs and services, including observations and reflections on the needs of gender minorities and LGBTQI people ; the beneficiary refered in this matter to Directive 2011/36/EU of 5 April 2011, the EU Strategy on Combatting Trafficking in Human Beings (2021-2025), the Istanbul Convention and CEDAW’s General Recommendation No. 35) and reported a diversity of actions accomplished by these gender focal points. The centers also reported having served 32 persons (SO2.3), which is in line with the fixed objective.</w:t>
            </w:r>
          </w:p>
          <w:p w14:paraId="768C4FB2" w14:textId="547B65BA" w:rsidR="00CA34C9" w:rsidRPr="00044A31" w:rsidRDefault="00044A31" w:rsidP="002275D0">
            <w:pPr>
              <w:pStyle w:val="Institutionquisigne"/>
              <w:spacing w:before="240" w:after="240" w:line="276" w:lineRule="auto"/>
              <w:rPr>
                <w:noProof/>
                <w:sz w:val="22"/>
              </w:rPr>
            </w:pPr>
            <w:r w:rsidRPr="0087440A">
              <w:rPr>
                <w:i w:val="0"/>
                <w:noProof/>
                <w:sz w:val="22"/>
              </w:rPr>
              <w:t>The beneficiary reported as an obstacle to the implementation of the project the difficulty to recruit and retain suitably qualified and experienced staff members (a difficulty shared by the social work sector in Belgium). Another reported obstacle is the tendency of some clients to refuse mental health assitance because of negative conceptions (e.g. people with mental health conditions being labeled “crazy”). This asks the social workers to deconstructs those negative conceptions.</w:t>
            </w:r>
          </w:p>
        </w:tc>
      </w:tr>
    </w:tbl>
    <w:p w14:paraId="55CD9CCE" w14:textId="359EE0D2" w:rsidR="0087657F" w:rsidRPr="004629B2" w:rsidRDefault="0060652B" w:rsidP="004629B2">
      <w:pPr>
        <w:keepNext/>
        <w:rPr>
          <w:noProof/>
          <w:sz w:val="22"/>
        </w:rPr>
      </w:pPr>
      <w:r>
        <w:rPr>
          <w:noProof/>
          <w:sz w:val="22"/>
        </w:rPr>
        <w:lastRenderedPageBreak/>
        <w:t>E</w:t>
      </w:r>
      <w:r w:rsidR="0087657F" w:rsidRPr="00F5431B">
        <w:rPr>
          <w:noProof/>
          <w:sz w:val="22"/>
        </w:rPr>
        <w:t xml:space="preserve">nter in </w:t>
      </w:r>
      <w:r w:rsidR="004629B2">
        <w:rPr>
          <w:noProof/>
          <w:sz w:val="22"/>
        </w:rPr>
        <w:t>the Table below</w:t>
      </w:r>
      <w:r w:rsidR="003A6A89">
        <w:rPr>
          <w:noProof/>
          <w:sz w:val="22"/>
        </w:rPr>
        <w:t xml:space="preserve"> </w:t>
      </w:r>
      <w:r w:rsidR="0087657F" w:rsidRPr="00F5431B">
        <w:rPr>
          <w:noProof/>
          <w:sz w:val="22"/>
        </w:rPr>
        <w:t xml:space="preserve">the details of all the </w:t>
      </w:r>
      <w:r w:rsidR="0087657F" w:rsidRPr="00BE1132">
        <w:rPr>
          <w:noProof/>
          <w:sz w:val="22"/>
        </w:rPr>
        <w:t xml:space="preserve">national </w:t>
      </w:r>
      <w:r w:rsidR="0087657F" w:rsidRPr="0084257B">
        <w:rPr>
          <w:noProof/>
          <w:sz w:val="22"/>
        </w:rPr>
        <w:t xml:space="preserve">specific </w:t>
      </w:r>
      <w:r w:rsidR="0087657F" w:rsidRPr="00BE1132">
        <w:rPr>
          <w:noProof/>
          <w:sz w:val="22"/>
        </w:rPr>
        <w:t>actions</w:t>
      </w:r>
      <w:r w:rsidR="0087657F" w:rsidRPr="0084257B">
        <w:rPr>
          <w:noProof/>
          <w:sz w:val="22"/>
        </w:rPr>
        <w:t xml:space="preserve"> implemented</w:t>
      </w:r>
      <w:r w:rsidR="0087657F" w:rsidRPr="00BE1132">
        <w:rPr>
          <w:noProof/>
          <w:sz w:val="20"/>
        </w:rPr>
        <w:t xml:space="preserve"> </w:t>
      </w:r>
      <w:r w:rsidR="0087657F" w:rsidRPr="00F5431B">
        <w:rPr>
          <w:noProof/>
          <w:sz w:val="22"/>
        </w:rPr>
        <w:t>i</w:t>
      </w:r>
      <w:r w:rsidR="0087657F">
        <w:rPr>
          <w:noProof/>
          <w:sz w:val="22"/>
        </w:rPr>
        <w:t xml:space="preserve">n </w:t>
      </w:r>
      <w:r w:rsidR="00ED3E23">
        <w:rPr>
          <w:noProof/>
          <w:sz w:val="22"/>
        </w:rPr>
        <w:t>the</w:t>
      </w:r>
      <w:r w:rsidR="0087657F">
        <w:rPr>
          <w:noProof/>
          <w:sz w:val="22"/>
        </w:rPr>
        <w:t xml:space="preserve"> programme. </w:t>
      </w:r>
      <w:r w:rsidR="00ED3E23">
        <w:rPr>
          <w:noProof/>
          <w:sz w:val="22"/>
        </w:rPr>
        <w:t>The r</w:t>
      </w:r>
      <w:r w:rsidR="0087657F">
        <w:rPr>
          <w:noProof/>
          <w:sz w:val="22"/>
        </w:rPr>
        <w:t>eporting on t</w:t>
      </w:r>
      <w:r w:rsidR="0087657F" w:rsidRPr="00F5431B">
        <w:rPr>
          <w:noProof/>
          <w:sz w:val="22"/>
        </w:rPr>
        <w:t>ransnational</w:t>
      </w:r>
      <w:r w:rsidR="0087657F">
        <w:rPr>
          <w:noProof/>
          <w:sz w:val="22"/>
        </w:rPr>
        <w:t xml:space="preserve"> specific actions should be consistent with</w:t>
      </w:r>
      <w:r w:rsidR="0087657F" w:rsidRPr="00F5431B">
        <w:rPr>
          <w:noProof/>
          <w:sz w:val="22"/>
        </w:rPr>
        <w:t xml:space="preserve"> the chosen reporting option.</w:t>
      </w:r>
      <w:r w:rsidR="0037290B">
        <w:rPr>
          <w:rStyle w:val="Appelnotedebasdep"/>
          <w:noProof/>
          <w:sz w:val="22"/>
        </w:rPr>
        <w:footnoteReference w:id="12"/>
      </w:r>
    </w:p>
    <w:tbl>
      <w:tblPr>
        <w:tblStyle w:val="Grilledutableau"/>
        <w:tblW w:w="9242" w:type="dxa"/>
        <w:tblLayout w:type="fixed"/>
        <w:tblCellMar>
          <w:left w:w="28" w:type="dxa"/>
          <w:right w:w="28" w:type="dxa"/>
        </w:tblCellMar>
        <w:tblLook w:val="04A0" w:firstRow="1" w:lastRow="0" w:firstColumn="1" w:lastColumn="0" w:noHBand="0" w:noVBand="1"/>
      </w:tblPr>
      <w:tblGrid>
        <w:gridCol w:w="879"/>
        <w:gridCol w:w="1134"/>
        <w:gridCol w:w="992"/>
        <w:gridCol w:w="1276"/>
        <w:gridCol w:w="709"/>
        <w:gridCol w:w="1275"/>
        <w:gridCol w:w="1364"/>
        <w:gridCol w:w="1613"/>
      </w:tblGrid>
      <w:tr w:rsidR="0087657F" w:rsidRPr="00F5431B" w14:paraId="780E211D" w14:textId="77777777" w:rsidTr="006D56A0">
        <w:trPr>
          <w:trHeight w:val="431"/>
        </w:trPr>
        <w:tc>
          <w:tcPr>
            <w:tcW w:w="879" w:type="dxa"/>
            <w:vMerge w:val="restart"/>
            <w:vAlign w:val="center"/>
          </w:tcPr>
          <w:p w14:paraId="4C057D40" w14:textId="536F1D4C" w:rsidR="0087657F" w:rsidRPr="00F5431B" w:rsidRDefault="0087657F" w:rsidP="00E45665">
            <w:pPr>
              <w:pStyle w:val="Institutionquisigne"/>
              <w:spacing w:before="0"/>
              <w:jc w:val="center"/>
              <w:rPr>
                <w:i w:val="0"/>
                <w:noProof/>
                <w:sz w:val="20"/>
              </w:rPr>
            </w:pPr>
            <w:r w:rsidRPr="00F5431B">
              <w:rPr>
                <w:i w:val="0"/>
                <w:noProof/>
                <w:sz w:val="20"/>
              </w:rPr>
              <w:t>S</w:t>
            </w:r>
            <w:r w:rsidR="00E80570">
              <w:rPr>
                <w:i w:val="0"/>
                <w:noProof/>
                <w:sz w:val="20"/>
              </w:rPr>
              <w:t>pe</w:t>
            </w:r>
            <w:r w:rsidR="00C52AC9">
              <w:rPr>
                <w:i w:val="0"/>
                <w:noProof/>
                <w:sz w:val="20"/>
              </w:rPr>
              <w:t>c</w:t>
            </w:r>
            <w:r w:rsidR="00E80570">
              <w:rPr>
                <w:i w:val="0"/>
                <w:noProof/>
                <w:sz w:val="20"/>
              </w:rPr>
              <w:t xml:space="preserve">ific </w:t>
            </w:r>
            <w:r w:rsidRPr="00F5431B">
              <w:rPr>
                <w:i w:val="0"/>
                <w:noProof/>
                <w:sz w:val="20"/>
              </w:rPr>
              <w:t>O</w:t>
            </w:r>
            <w:r w:rsidR="00E80570">
              <w:rPr>
                <w:i w:val="0"/>
                <w:noProof/>
                <w:sz w:val="20"/>
              </w:rPr>
              <w:t>bjective</w:t>
            </w:r>
          </w:p>
        </w:tc>
        <w:tc>
          <w:tcPr>
            <w:tcW w:w="1134" w:type="dxa"/>
            <w:vMerge w:val="restart"/>
            <w:vAlign w:val="center"/>
          </w:tcPr>
          <w:p w14:paraId="09A2E81B" w14:textId="77777777" w:rsidR="0087657F" w:rsidRPr="0084257B" w:rsidRDefault="0087657F" w:rsidP="00E45665">
            <w:pPr>
              <w:jc w:val="center"/>
              <w:rPr>
                <w:i/>
                <w:noProof/>
              </w:rPr>
            </w:pPr>
            <w:r w:rsidRPr="00BE1132">
              <w:rPr>
                <w:noProof/>
                <w:sz w:val="20"/>
              </w:rPr>
              <w:t>Name / reference number of the action</w:t>
            </w:r>
          </w:p>
        </w:tc>
        <w:tc>
          <w:tcPr>
            <w:tcW w:w="992" w:type="dxa"/>
            <w:vMerge w:val="restart"/>
            <w:vAlign w:val="center"/>
          </w:tcPr>
          <w:p w14:paraId="49AEFDD8" w14:textId="77777777" w:rsidR="0087657F" w:rsidRPr="00F5431B" w:rsidRDefault="0087657F" w:rsidP="00E45665">
            <w:pPr>
              <w:pStyle w:val="Institutionquisigne"/>
              <w:spacing w:before="0"/>
              <w:jc w:val="center"/>
              <w:rPr>
                <w:i w:val="0"/>
                <w:noProof/>
                <w:sz w:val="20"/>
              </w:rPr>
            </w:pPr>
            <w:r w:rsidRPr="00F5431B">
              <w:rPr>
                <w:i w:val="0"/>
                <w:noProof/>
                <w:sz w:val="20"/>
              </w:rPr>
              <w:t>Beneficiary</w:t>
            </w:r>
          </w:p>
        </w:tc>
        <w:tc>
          <w:tcPr>
            <w:tcW w:w="1276" w:type="dxa"/>
            <w:vMerge w:val="restart"/>
            <w:vAlign w:val="center"/>
          </w:tcPr>
          <w:p w14:paraId="594D1D7C" w14:textId="6DEA5208" w:rsidR="0087657F" w:rsidRPr="00F5431B" w:rsidRDefault="0087657F" w:rsidP="00E45665">
            <w:pPr>
              <w:pStyle w:val="Institutionquisigne"/>
              <w:spacing w:before="0"/>
              <w:jc w:val="center"/>
              <w:rPr>
                <w:i w:val="0"/>
                <w:noProof/>
                <w:sz w:val="20"/>
              </w:rPr>
            </w:pPr>
            <w:r w:rsidRPr="00F5431B">
              <w:rPr>
                <w:i w:val="0"/>
                <w:noProof/>
                <w:sz w:val="20"/>
              </w:rPr>
              <w:t xml:space="preserve">Implementing </w:t>
            </w:r>
            <w:r w:rsidR="00ED3E23">
              <w:rPr>
                <w:i w:val="0"/>
                <w:noProof/>
                <w:sz w:val="20"/>
              </w:rPr>
              <w:t>p</w:t>
            </w:r>
            <w:r w:rsidRPr="00F5431B">
              <w:rPr>
                <w:i w:val="0"/>
                <w:noProof/>
                <w:sz w:val="20"/>
              </w:rPr>
              <w:t>eriod</w:t>
            </w:r>
          </w:p>
        </w:tc>
        <w:tc>
          <w:tcPr>
            <w:tcW w:w="709" w:type="dxa"/>
            <w:vMerge w:val="restart"/>
            <w:vAlign w:val="center"/>
          </w:tcPr>
          <w:p w14:paraId="7E710BF7" w14:textId="77777777" w:rsidR="0087657F" w:rsidRPr="00BE1132" w:rsidRDefault="0087657F" w:rsidP="0037290B">
            <w:pPr>
              <w:pStyle w:val="Institutionquisigne"/>
              <w:spacing w:before="0"/>
              <w:jc w:val="center"/>
              <w:rPr>
                <w:i w:val="0"/>
                <w:noProof/>
                <w:sz w:val="20"/>
              </w:rPr>
            </w:pPr>
            <w:r w:rsidRPr="00BE1132">
              <w:rPr>
                <w:i w:val="0"/>
                <w:noProof/>
                <w:sz w:val="20"/>
                <w:szCs w:val="20"/>
              </w:rPr>
              <w:t>Eligible cost</w:t>
            </w:r>
            <w:r w:rsidR="0037290B">
              <w:rPr>
                <w:rStyle w:val="Appelnotedebasdep"/>
                <w:i w:val="0"/>
                <w:noProof/>
                <w:sz w:val="20"/>
                <w:szCs w:val="20"/>
              </w:rPr>
              <w:footnoteReference w:id="13"/>
            </w:r>
          </w:p>
        </w:tc>
        <w:tc>
          <w:tcPr>
            <w:tcW w:w="1275" w:type="dxa"/>
            <w:vMerge w:val="restart"/>
            <w:vAlign w:val="center"/>
          </w:tcPr>
          <w:p w14:paraId="51E4EE7A" w14:textId="77777777" w:rsidR="0087657F" w:rsidRPr="00BE1132" w:rsidRDefault="0087657F" w:rsidP="0037290B">
            <w:pPr>
              <w:pStyle w:val="Institutionquisigne"/>
              <w:spacing w:before="0"/>
              <w:jc w:val="center"/>
              <w:rPr>
                <w:i w:val="0"/>
                <w:noProof/>
                <w:sz w:val="20"/>
              </w:rPr>
            </w:pPr>
            <w:r w:rsidRPr="00BE1132">
              <w:rPr>
                <w:i w:val="0"/>
                <w:noProof/>
                <w:sz w:val="20"/>
              </w:rPr>
              <w:t>Eligible expenditure</w:t>
            </w:r>
            <w:r w:rsidR="0037290B">
              <w:rPr>
                <w:rStyle w:val="Appelnotedebasdep"/>
                <w:i w:val="0"/>
                <w:noProof/>
                <w:sz w:val="20"/>
              </w:rPr>
              <w:footnoteReference w:id="14"/>
            </w:r>
          </w:p>
        </w:tc>
        <w:tc>
          <w:tcPr>
            <w:tcW w:w="2977" w:type="dxa"/>
            <w:gridSpan w:val="2"/>
            <w:vAlign w:val="center"/>
          </w:tcPr>
          <w:p w14:paraId="569D9FF3" w14:textId="5159F038" w:rsidR="0087657F" w:rsidRPr="00BE1132" w:rsidRDefault="0087657F" w:rsidP="0037290B">
            <w:pPr>
              <w:jc w:val="center"/>
              <w:rPr>
                <w:i/>
                <w:noProof/>
              </w:rPr>
            </w:pPr>
            <w:r w:rsidRPr="00BE1132">
              <w:rPr>
                <w:noProof/>
                <w:sz w:val="20"/>
              </w:rPr>
              <w:t>Progress in the relevant common and / or programme</w:t>
            </w:r>
            <w:r w:rsidR="00ED3E23">
              <w:rPr>
                <w:noProof/>
                <w:sz w:val="20"/>
              </w:rPr>
              <w:t>-</w:t>
            </w:r>
            <w:r w:rsidRPr="00BE1132">
              <w:rPr>
                <w:noProof/>
                <w:sz w:val="20"/>
              </w:rPr>
              <w:t>specific indicators</w:t>
            </w:r>
            <w:r w:rsidR="0037290B">
              <w:rPr>
                <w:rStyle w:val="Appelnotedebasdep"/>
                <w:noProof/>
                <w:sz w:val="20"/>
              </w:rPr>
              <w:footnoteReference w:id="15"/>
            </w:r>
          </w:p>
        </w:tc>
      </w:tr>
      <w:tr w:rsidR="0087657F" w14:paraId="609214B2" w14:textId="77777777" w:rsidTr="006D56A0">
        <w:tc>
          <w:tcPr>
            <w:tcW w:w="879" w:type="dxa"/>
            <w:vMerge/>
            <w:vAlign w:val="center"/>
          </w:tcPr>
          <w:p w14:paraId="51194EB2" w14:textId="77777777" w:rsidR="0087657F" w:rsidRPr="00F5431B" w:rsidRDefault="0087657F" w:rsidP="00E45665">
            <w:pPr>
              <w:pStyle w:val="Institutionquisigne"/>
              <w:spacing w:before="0"/>
              <w:jc w:val="center"/>
              <w:rPr>
                <w:i w:val="0"/>
                <w:noProof/>
                <w:sz w:val="22"/>
              </w:rPr>
            </w:pPr>
          </w:p>
        </w:tc>
        <w:tc>
          <w:tcPr>
            <w:tcW w:w="1134" w:type="dxa"/>
            <w:vMerge/>
            <w:vAlign w:val="center"/>
          </w:tcPr>
          <w:p w14:paraId="52ECD190" w14:textId="77777777" w:rsidR="0087657F" w:rsidRPr="00F5431B" w:rsidRDefault="0087657F" w:rsidP="00E45665">
            <w:pPr>
              <w:pStyle w:val="Institutionquisigne"/>
              <w:spacing w:before="0"/>
              <w:jc w:val="center"/>
              <w:rPr>
                <w:noProof/>
              </w:rPr>
            </w:pPr>
          </w:p>
        </w:tc>
        <w:tc>
          <w:tcPr>
            <w:tcW w:w="992" w:type="dxa"/>
            <w:vMerge/>
            <w:vAlign w:val="center"/>
          </w:tcPr>
          <w:p w14:paraId="6230656A" w14:textId="77777777" w:rsidR="0087657F" w:rsidRPr="00F5431B" w:rsidRDefault="0087657F" w:rsidP="00E45665">
            <w:pPr>
              <w:pStyle w:val="Institutionquisigne"/>
              <w:spacing w:before="0"/>
              <w:jc w:val="center"/>
              <w:rPr>
                <w:noProof/>
              </w:rPr>
            </w:pPr>
          </w:p>
        </w:tc>
        <w:tc>
          <w:tcPr>
            <w:tcW w:w="1276" w:type="dxa"/>
            <w:vMerge/>
            <w:vAlign w:val="center"/>
          </w:tcPr>
          <w:p w14:paraId="75AF871F" w14:textId="77777777" w:rsidR="0087657F" w:rsidRPr="00F5431B" w:rsidRDefault="0087657F" w:rsidP="00E45665">
            <w:pPr>
              <w:pStyle w:val="Institutionquisigne"/>
              <w:spacing w:before="0"/>
              <w:jc w:val="center"/>
              <w:rPr>
                <w:noProof/>
              </w:rPr>
            </w:pPr>
          </w:p>
        </w:tc>
        <w:tc>
          <w:tcPr>
            <w:tcW w:w="709" w:type="dxa"/>
            <w:vMerge/>
            <w:vAlign w:val="center"/>
          </w:tcPr>
          <w:p w14:paraId="69DF9483" w14:textId="77777777" w:rsidR="0087657F" w:rsidRPr="00BE1132" w:rsidRDefault="0087657F" w:rsidP="00E45665">
            <w:pPr>
              <w:pStyle w:val="Institutionquisigne"/>
              <w:spacing w:before="0"/>
              <w:jc w:val="center"/>
              <w:rPr>
                <w:noProof/>
              </w:rPr>
            </w:pPr>
          </w:p>
        </w:tc>
        <w:tc>
          <w:tcPr>
            <w:tcW w:w="1275" w:type="dxa"/>
            <w:vMerge/>
            <w:vAlign w:val="center"/>
          </w:tcPr>
          <w:p w14:paraId="4151674A" w14:textId="77777777" w:rsidR="0087657F" w:rsidRPr="00BE1132" w:rsidRDefault="0087657F" w:rsidP="00E45665">
            <w:pPr>
              <w:pStyle w:val="Institutionquisigne"/>
              <w:spacing w:before="0"/>
              <w:jc w:val="center"/>
              <w:rPr>
                <w:noProof/>
              </w:rPr>
            </w:pPr>
          </w:p>
        </w:tc>
        <w:tc>
          <w:tcPr>
            <w:tcW w:w="1364" w:type="dxa"/>
            <w:vAlign w:val="center"/>
          </w:tcPr>
          <w:p w14:paraId="6AF46BD4" w14:textId="77777777" w:rsidR="0087657F" w:rsidRPr="00BE1132" w:rsidRDefault="0087657F" w:rsidP="00E45665">
            <w:pPr>
              <w:pStyle w:val="Institutionquisigne"/>
              <w:spacing w:before="0"/>
              <w:jc w:val="center"/>
              <w:rPr>
                <w:i w:val="0"/>
                <w:noProof/>
                <w:sz w:val="20"/>
              </w:rPr>
            </w:pPr>
            <w:r w:rsidRPr="00BE1132">
              <w:rPr>
                <w:i w:val="0"/>
                <w:noProof/>
                <w:sz w:val="20"/>
                <w:szCs w:val="20"/>
              </w:rPr>
              <w:t>Output</w:t>
            </w:r>
          </w:p>
        </w:tc>
        <w:tc>
          <w:tcPr>
            <w:tcW w:w="1613" w:type="dxa"/>
            <w:vAlign w:val="center"/>
          </w:tcPr>
          <w:p w14:paraId="3DD99E13" w14:textId="77777777" w:rsidR="0087657F" w:rsidRPr="00BE1132" w:rsidRDefault="0087657F" w:rsidP="00E45665">
            <w:pPr>
              <w:pStyle w:val="Institutionquisigne"/>
              <w:spacing w:before="0"/>
              <w:jc w:val="center"/>
              <w:rPr>
                <w:i w:val="0"/>
                <w:noProof/>
                <w:sz w:val="20"/>
              </w:rPr>
            </w:pPr>
            <w:r w:rsidRPr="00BE1132">
              <w:rPr>
                <w:i w:val="0"/>
                <w:noProof/>
                <w:sz w:val="20"/>
              </w:rPr>
              <w:t>Result</w:t>
            </w:r>
          </w:p>
        </w:tc>
      </w:tr>
      <w:tr w:rsidR="0087657F" w:rsidRPr="000439A8" w14:paraId="07E254D5" w14:textId="77777777" w:rsidTr="006D56A0">
        <w:tc>
          <w:tcPr>
            <w:tcW w:w="879" w:type="dxa"/>
            <w:vAlign w:val="center"/>
          </w:tcPr>
          <w:p w14:paraId="5F30C9AD" w14:textId="5FE82417" w:rsidR="0087657F" w:rsidRPr="000439A8" w:rsidRDefault="00CA34C9" w:rsidP="00E45665">
            <w:pPr>
              <w:pStyle w:val="Institutionquisigne"/>
              <w:spacing w:before="0"/>
              <w:jc w:val="center"/>
              <w:rPr>
                <w:i w:val="0"/>
                <w:noProof/>
                <w:sz w:val="22"/>
              </w:rPr>
            </w:pPr>
            <w:r w:rsidRPr="000439A8">
              <w:rPr>
                <w:i w:val="0"/>
                <w:noProof/>
                <w:sz w:val="22"/>
              </w:rPr>
              <w:t>SO2</w:t>
            </w:r>
          </w:p>
        </w:tc>
        <w:tc>
          <w:tcPr>
            <w:tcW w:w="1134" w:type="dxa"/>
            <w:vAlign w:val="center"/>
          </w:tcPr>
          <w:p w14:paraId="6DB5E9F5" w14:textId="46F74A77" w:rsidR="0087657F" w:rsidRPr="000439A8" w:rsidRDefault="004204D4" w:rsidP="00E45665">
            <w:pPr>
              <w:pStyle w:val="Institutionquisigne"/>
              <w:spacing w:before="0"/>
              <w:jc w:val="center"/>
              <w:rPr>
                <w:noProof/>
                <w:sz w:val="22"/>
              </w:rPr>
            </w:pPr>
            <w:r w:rsidRPr="000439A8">
              <w:rPr>
                <w:noProof/>
                <w:sz w:val="22"/>
              </w:rPr>
              <w:t>AMIF/2022/SA/2.4.1</w:t>
            </w:r>
          </w:p>
        </w:tc>
        <w:tc>
          <w:tcPr>
            <w:tcW w:w="992" w:type="dxa"/>
          </w:tcPr>
          <w:p w14:paraId="76DD3C5C" w14:textId="39CC6731" w:rsidR="0087657F" w:rsidRPr="000439A8" w:rsidRDefault="00CA34C9" w:rsidP="00E45665">
            <w:pPr>
              <w:pStyle w:val="Institutionquisigne"/>
              <w:spacing w:before="0"/>
              <w:jc w:val="center"/>
              <w:rPr>
                <w:noProof/>
                <w:sz w:val="22"/>
              </w:rPr>
            </w:pPr>
            <w:r w:rsidRPr="000439A8">
              <w:rPr>
                <w:noProof/>
                <w:sz w:val="22"/>
              </w:rPr>
              <w:t>Payoke</w:t>
            </w:r>
          </w:p>
        </w:tc>
        <w:tc>
          <w:tcPr>
            <w:tcW w:w="1276" w:type="dxa"/>
          </w:tcPr>
          <w:p w14:paraId="2061860B" w14:textId="6D9C6DCE" w:rsidR="0087657F" w:rsidRPr="000439A8" w:rsidRDefault="004204D4" w:rsidP="00E45665">
            <w:pPr>
              <w:pStyle w:val="Institutionquisigne"/>
              <w:spacing w:before="0"/>
              <w:jc w:val="center"/>
              <w:rPr>
                <w:noProof/>
                <w:sz w:val="22"/>
              </w:rPr>
            </w:pPr>
            <w:r w:rsidRPr="000439A8">
              <w:rPr>
                <w:noProof/>
                <w:sz w:val="22"/>
              </w:rPr>
              <w:t>01/01/2023 – 31/12/2024</w:t>
            </w:r>
          </w:p>
        </w:tc>
        <w:tc>
          <w:tcPr>
            <w:tcW w:w="709" w:type="dxa"/>
          </w:tcPr>
          <w:p w14:paraId="586007C5" w14:textId="58362D55" w:rsidR="0087657F" w:rsidRPr="000439A8" w:rsidRDefault="000439A8" w:rsidP="00E45665">
            <w:pPr>
              <w:pStyle w:val="Institutionquisigne"/>
              <w:spacing w:before="0"/>
              <w:jc w:val="center"/>
              <w:rPr>
                <w:noProof/>
                <w:sz w:val="22"/>
              </w:rPr>
            </w:pPr>
            <w:r w:rsidRPr="000439A8">
              <w:rPr>
                <w:noProof/>
                <w:sz w:val="22"/>
              </w:rPr>
              <w:t>412.764,59 €</w:t>
            </w:r>
          </w:p>
        </w:tc>
        <w:tc>
          <w:tcPr>
            <w:tcW w:w="1275" w:type="dxa"/>
          </w:tcPr>
          <w:p w14:paraId="7716FE1C" w14:textId="59B72938" w:rsidR="0087657F" w:rsidRPr="000439A8" w:rsidRDefault="000439A8" w:rsidP="00E45665">
            <w:pPr>
              <w:pStyle w:val="Institutionquisigne"/>
              <w:spacing w:before="0"/>
              <w:jc w:val="center"/>
              <w:rPr>
                <w:noProof/>
                <w:sz w:val="22"/>
              </w:rPr>
            </w:pPr>
            <w:r w:rsidRPr="000439A8">
              <w:rPr>
                <w:noProof/>
                <w:sz w:val="22"/>
              </w:rPr>
              <w:t xml:space="preserve">93.057,31 € </w:t>
            </w:r>
            <w:r w:rsidRPr="00E75D06">
              <w:rPr>
                <w:noProof/>
                <w:sz w:val="22"/>
              </w:rPr>
              <w:t>(= Staff costs + indirect costs)</w:t>
            </w:r>
          </w:p>
        </w:tc>
        <w:tc>
          <w:tcPr>
            <w:tcW w:w="1364" w:type="dxa"/>
          </w:tcPr>
          <w:p w14:paraId="481F6771" w14:textId="1D2E2A95" w:rsidR="0087657F" w:rsidRPr="000439A8" w:rsidRDefault="001324AE" w:rsidP="001324AE">
            <w:pPr>
              <w:pStyle w:val="Institutionquisigne"/>
              <w:spacing w:before="0"/>
              <w:jc w:val="center"/>
              <w:rPr>
                <w:i w:val="0"/>
                <w:noProof/>
                <w:sz w:val="22"/>
              </w:rPr>
            </w:pPr>
            <w:r>
              <w:rPr>
                <w:i w:val="0"/>
                <w:noProof/>
                <w:sz w:val="22"/>
              </w:rPr>
              <w:t>SO</w:t>
            </w:r>
            <w:r w:rsidR="003C2195">
              <w:rPr>
                <w:i w:val="0"/>
                <w:noProof/>
                <w:sz w:val="22"/>
              </w:rPr>
              <w:t>2.</w:t>
            </w:r>
            <w:r>
              <w:rPr>
                <w:i w:val="0"/>
                <w:noProof/>
                <w:sz w:val="22"/>
              </w:rPr>
              <w:t xml:space="preserve">3 = </w:t>
            </w:r>
            <w:r w:rsidR="000439A8">
              <w:rPr>
                <w:i w:val="0"/>
                <w:noProof/>
                <w:sz w:val="22"/>
              </w:rPr>
              <w:t>32</w:t>
            </w:r>
          </w:p>
        </w:tc>
        <w:tc>
          <w:tcPr>
            <w:tcW w:w="1613" w:type="dxa"/>
          </w:tcPr>
          <w:p w14:paraId="77D029D9" w14:textId="77777777" w:rsidR="0087657F" w:rsidRPr="000439A8" w:rsidRDefault="0087657F" w:rsidP="00E45665">
            <w:pPr>
              <w:pStyle w:val="Institutionquisigne"/>
              <w:spacing w:before="0"/>
              <w:jc w:val="center"/>
              <w:rPr>
                <w:i w:val="0"/>
                <w:noProof/>
                <w:sz w:val="22"/>
              </w:rPr>
            </w:pPr>
          </w:p>
        </w:tc>
      </w:tr>
    </w:tbl>
    <w:p w14:paraId="10DD318B" w14:textId="77777777" w:rsidR="0087657F" w:rsidRDefault="0087657F" w:rsidP="0087657F">
      <w:pPr>
        <w:pStyle w:val="Personnequisigne"/>
        <w:rPr>
          <w:noProof/>
        </w:rPr>
      </w:pPr>
    </w:p>
    <w:p w14:paraId="596A5DC6" w14:textId="55A660B6" w:rsidR="0087657F" w:rsidRDefault="0005722E" w:rsidP="0005722E">
      <w:pPr>
        <w:pStyle w:val="ManualHeading2"/>
        <w:rPr>
          <w:noProof/>
        </w:rPr>
      </w:pPr>
      <w:r w:rsidRPr="0005722E">
        <w:t>1.6.</w:t>
      </w:r>
      <w:r w:rsidRPr="0005722E">
        <w:tab/>
      </w:r>
      <w:r w:rsidR="0087657F">
        <w:rPr>
          <w:noProof/>
        </w:rPr>
        <w:t>R</w:t>
      </w:r>
      <w:r w:rsidR="0087657F" w:rsidRPr="00450B1B">
        <w:rPr>
          <w:noProof/>
        </w:rPr>
        <w:t xml:space="preserve">esettlement and </w:t>
      </w:r>
      <w:r w:rsidR="003A6A89">
        <w:rPr>
          <w:noProof/>
        </w:rPr>
        <w:t>r</w:t>
      </w:r>
      <w:r w:rsidR="0087657F" w:rsidRPr="00450B1B">
        <w:rPr>
          <w:noProof/>
        </w:rPr>
        <w:t>elocation</w:t>
      </w:r>
      <w:r w:rsidR="0087657F">
        <w:rPr>
          <w:noProof/>
        </w:rPr>
        <w:t xml:space="preserve"> – </w:t>
      </w:r>
      <w:r w:rsidR="0087657F" w:rsidRPr="00EA0778">
        <w:rPr>
          <w:noProof/>
        </w:rPr>
        <w:t>Art</w:t>
      </w:r>
      <w:r w:rsidR="0087657F">
        <w:rPr>
          <w:noProof/>
        </w:rPr>
        <w:t>icle 35(2)</w:t>
      </w:r>
      <w:r w:rsidR="003A6A89">
        <w:rPr>
          <w:noProof/>
        </w:rPr>
        <w:t>,</w:t>
      </w:r>
      <w:r w:rsidR="00B8569E">
        <w:rPr>
          <w:noProof/>
        </w:rPr>
        <w:t xml:space="preserve"> </w:t>
      </w:r>
      <w:r w:rsidR="003A6A89">
        <w:rPr>
          <w:noProof/>
        </w:rPr>
        <w:t xml:space="preserve">points (g) and (h), </w:t>
      </w:r>
      <w:r w:rsidR="0087657F">
        <w:rPr>
          <w:noProof/>
        </w:rPr>
        <w:t xml:space="preserve">of Regulation </w:t>
      </w:r>
      <w:r w:rsidR="0087657F" w:rsidRPr="00933D05">
        <w:rPr>
          <w:noProof/>
        </w:rPr>
        <w:t>(EU) 2021/1147</w:t>
      </w:r>
    </w:p>
    <w:p w14:paraId="41A6C6B8" w14:textId="4AB08541" w:rsidR="000D1693" w:rsidRPr="004629B2" w:rsidRDefault="0060652B" w:rsidP="004629B2">
      <w:pPr>
        <w:pStyle w:val="Titrearticle"/>
        <w:spacing w:before="240"/>
        <w:jc w:val="both"/>
        <w:rPr>
          <w:i w:val="0"/>
          <w:noProof/>
          <w:sz w:val="22"/>
        </w:rPr>
      </w:pPr>
      <w:r>
        <w:rPr>
          <w:i w:val="0"/>
          <w:noProof/>
          <w:sz w:val="22"/>
        </w:rPr>
        <w:t>R</w:t>
      </w:r>
      <w:r w:rsidR="0087657F">
        <w:rPr>
          <w:i w:val="0"/>
          <w:noProof/>
          <w:sz w:val="22"/>
        </w:rPr>
        <w:t xml:space="preserve">eport </w:t>
      </w:r>
      <w:r w:rsidR="00933FC4">
        <w:rPr>
          <w:i w:val="0"/>
          <w:noProof/>
          <w:sz w:val="22"/>
        </w:rPr>
        <w:t>on</w:t>
      </w:r>
      <w:r w:rsidR="0087657F">
        <w:rPr>
          <w:i w:val="0"/>
          <w:noProof/>
          <w:sz w:val="22"/>
        </w:rPr>
        <w:t xml:space="preserve"> </w:t>
      </w:r>
      <w:r w:rsidR="00ED3E23">
        <w:rPr>
          <w:i w:val="0"/>
          <w:noProof/>
          <w:sz w:val="22"/>
        </w:rPr>
        <w:t xml:space="preserve">the consolidated figures for the accounting year </w:t>
      </w:r>
      <w:r w:rsidR="0087657F">
        <w:rPr>
          <w:i w:val="0"/>
          <w:noProof/>
          <w:sz w:val="22"/>
        </w:rPr>
        <w:t xml:space="preserve">in the </w:t>
      </w:r>
      <w:r w:rsidR="006C5C3B">
        <w:rPr>
          <w:i w:val="0"/>
          <w:noProof/>
          <w:sz w:val="22"/>
        </w:rPr>
        <w:t>t</w:t>
      </w:r>
      <w:r w:rsidR="0087657F">
        <w:rPr>
          <w:i w:val="0"/>
          <w:noProof/>
          <w:sz w:val="22"/>
        </w:rPr>
        <w:t>able</w:t>
      </w:r>
      <w:r w:rsidR="000D1693">
        <w:rPr>
          <w:i w:val="0"/>
          <w:noProof/>
          <w:sz w:val="22"/>
        </w:rPr>
        <w:t xml:space="preserve"> </w:t>
      </w:r>
      <w:r w:rsidR="0087657F">
        <w:rPr>
          <w:i w:val="0"/>
          <w:noProof/>
          <w:sz w:val="22"/>
        </w:rPr>
        <w:t xml:space="preserve">below. </w:t>
      </w:r>
      <w:r w:rsidR="0087657F" w:rsidRPr="00AB4A2D">
        <w:rPr>
          <w:i w:val="0"/>
          <w:noProof/>
          <w:color w:val="2B579A"/>
          <w:sz w:val="22"/>
          <w:shd w:val="clear" w:color="auto" w:fill="E6E6E6"/>
        </w:rPr>
        <w:t xml:space="preserve"> </w:t>
      </w:r>
    </w:p>
    <w:tbl>
      <w:tblPr>
        <w:tblStyle w:val="Grilledutableau"/>
        <w:tblW w:w="0" w:type="auto"/>
        <w:tblLook w:val="04A0" w:firstRow="1" w:lastRow="0" w:firstColumn="1" w:lastColumn="0" w:noHBand="0" w:noVBand="1"/>
      </w:tblPr>
      <w:tblGrid>
        <w:gridCol w:w="6745"/>
        <w:gridCol w:w="2318"/>
      </w:tblGrid>
      <w:tr w:rsidR="0087657F" w:rsidRPr="00D92530" w14:paraId="3A2ADFD9" w14:textId="77777777" w:rsidTr="004629B2">
        <w:trPr>
          <w:trHeight w:val="347"/>
        </w:trPr>
        <w:tc>
          <w:tcPr>
            <w:tcW w:w="6911" w:type="dxa"/>
            <w:vAlign w:val="center"/>
          </w:tcPr>
          <w:p w14:paraId="6C15B8BB" w14:textId="77777777" w:rsidR="0087657F" w:rsidRPr="00BE1132" w:rsidRDefault="0087657F" w:rsidP="00E45665">
            <w:pPr>
              <w:spacing w:before="0" w:after="0"/>
              <w:rPr>
                <w:i/>
                <w:noProof/>
                <w:sz w:val="20"/>
              </w:rPr>
            </w:pPr>
            <w:r w:rsidRPr="00BE1132">
              <w:rPr>
                <w:noProof/>
                <w:sz w:val="20"/>
              </w:rPr>
              <w:t xml:space="preserve">Number of persons admitted through resettlement </w:t>
            </w:r>
          </w:p>
        </w:tc>
        <w:tc>
          <w:tcPr>
            <w:tcW w:w="2376" w:type="dxa"/>
          </w:tcPr>
          <w:p w14:paraId="185CC629" w14:textId="15CE02D5" w:rsidR="0087657F" w:rsidRPr="00AB4A2D" w:rsidRDefault="00815488" w:rsidP="00815488">
            <w:pPr>
              <w:pStyle w:val="Institutionquisigne"/>
              <w:spacing w:before="0"/>
              <w:jc w:val="center"/>
              <w:rPr>
                <w:noProof/>
                <w:sz w:val="20"/>
              </w:rPr>
            </w:pPr>
            <w:r>
              <w:rPr>
                <w:noProof/>
                <w:sz w:val="20"/>
              </w:rPr>
              <w:t>96</w:t>
            </w:r>
          </w:p>
        </w:tc>
      </w:tr>
      <w:tr w:rsidR="0087657F" w:rsidRPr="00D92530" w14:paraId="39A4D866" w14:textId="77777777" w:rsidTr="004629B2">
        <w:trPr>
          <w:trHeight w:val="658"/>
        </w:trPr>
        <w:tc>
          <w:tcPr>
            <w:tcW w:w="6911" w:type="dxa"/>
            <w:vAlign w:val="center"/>
          </w:tcPr>
          <w:p w14:paraId="19DA5037" w14:textId="4F940BC6" w:rsidR="0087657F" w:rsidRPr="00BE1132" w:rsidRDefault="0087657F" w:rsidP="00E45665">
            <w:pPr>
              <w:spacing w:before="0" w:after="0"/>
              <w:rPr>
                <w:i/>
                <w:noProof/>
                <w:sz w:val="20"/>
              </w:rPr>
            </w:pPr>
            <w:r w:rsidRPr="00BE1132">
              <w:rPr>
                <w:noProof/>
                <w:sz w:val="20"/>
              </w:rPr>
              <w:t xml:space="preserve">Number of persons admitted through humanitarian admission </w:t>
            </w:r>
            <w:r w:rsidR="00ED3E23">
              <w:rPr>
                <w:noProof/>
                <w:sz w:val="20"/>
              </w:rPr>
              <w:t xml:space="preserve">in line </w:t>
            </w:r>
            <w:r w:rsidRPr="00BE1132">
              <w:rPr>
                <w:noProof/>
                <w:sz w:val="20"/>
              </w:rPr>
              <w:t xml:space="preserve">with Article 19(2) </w:t>
            </w:r>
            <w:r w:rsidR="006E268C">
              <w:rPr>
                <w:noProof/>
                <w:sz w:val="20"/>
              </w:rPr>
              <w:t xml:space="preserve">of </w:t>
            </w:r>
            <w:r w:rsidR="00ED3E23">
              <w:rPr>
                <w:noProof/>
                <w:sz w:val="20"/>
              </w:rPr>
              <w:t xml:space="preserve">the </w:t>
            </w:r>
            <w:r w:rsidR="004E137F">
              <w:rPr>
                <w:noProof/>
                <w:sz w:val="20"/>
              </w:rPr>
              <w:t xml:space="preserve">Regulation </w:t>
            </w:r>
            <w:r w:rsidR="006E268C" w:rsidRPr="006E268C">
              <w:rPr>
                <w:noProof/>
                <w:sz w:val="20"/>
              </w:rPr>
              <w:t>(EU) 2021/1147</w:t>
            </w:r>
          </w:p>
        </w:tc>
        <w:tc>
          <w:tcPr>
            <w:tcW w:w="2376" w:type="dxa"/>
          </w:tcPr>
          <w:p w14:paraId="67441349" w14:textId="4DD6E1F0" w:rsidR="0087657F" w:rsidRPr="00AB4A2D" w:rsidRDefault="00815488" w:rsidP="00815488">
            <w:pPr>
              <w:pStyle w:val="Institutionquisigne"/>
              <w:spacing w:before="0"/>
              <w:jc w:val="center"/>
              <w:rPr>
                <w:noProof/>
                <w:sz w:val="20"/>
              </w:rPr>
            </w:pPr>
            <w:r>
              <w:rPr>
                <w:noProof/>
                <w:sz w:val="20"/>
              </w:rPr>
              <w:t>0</w:t>
            </w:r>
          </w:p>
        </w:tc>
      </w:tr>
      <w:tr w:rsidR="0087657F" w:rsidRPr="00D92530" w14:paraId="5617CC0A" w14:textId="77777777" w:rsidTr="004629B2">
        <w:trPr>
          <w:trHeight w:val="650"/>
        </w:trPr>
        <w:tc>
          <w:tcPr>
            <w:tcW w:w="6911" w:type="dxa"/>
            <w:tcBorders>
              <w:bottom w:val="single" w:sz="4" w:space="0" w:color="auto"/>
            </w:tcBorders>
            <w:vAlign w:val="center"/>
          </w:tcPr>
          <w:p w14:paraId="040E84B8" w14:textId="205DEA4C" w:rsidR="0087657F" w:rsidRPr="00BE1132" w:rsidRDefault="0087657F" w:rsidP="00E80570">
            <w:pPr>
              <w:spacing w:before="0" w:after="0"/>
              <w:rPr>
                <w:i/>
                <w:noProof/>
                <w:sz w:val="20"/>
              </w:rPr>
            </w:pPr>
            <w:r w:rsidRPr="00BE1132">
              <w:rPr>
                <w:noProof/>
                <w:sz w:val="20"/>
              </w:rPr>
              <w:t xml:space="preserve">Number of vulnerable persons admitted through humanitarian admission in line with Article 19(3) </w:t>
            </w:r>
            <w:r w:rsidR="00ED3E23">
              <w:rPr>
                <w:noProof/>
                <w:sz w:val="20"/>
              </w:rPr>
              <w:t>of the</w:t>
            </w:r>
            <w:r w:rsidR="006E268C">
              <w:rPr>
                <w:noProof/>
                <w:sz w:val="20"/>
              </w:rPr>
              <w:t xml:space="preserve"> </w:t>
            </w:r>
            <w:r w:rsidRPr="00BE1132">
              <w:rPr>
                <w:noProof/>
                <w:sz w:val="20"/>
              </w:rPr>
              <w:t xml:space="preserve">Regulation </w:t>
            </w:r>
            <w:r w:rsidR="00E80570" w:rsidRPr="006E268C">
              <w:rPr>
                <w:noProof/>
                <w:sz w:val="20"/>
              </w:rPr>
              <w:t>(EU) 2021/1147</w:t>
            </w:r>
          </w:p>
        </w:tc>
        <w:tc>
          <w:tcPr>
            <w:tcW w:w="2376" w:type="dxa"/>
            <w:tcBorders>
              <w:bottom w:val="single" w:sz="4" w:space="0" w:color="auto"/>
            </w:tcBorders>
          </w:tcPr>
          <w:p w14:paraId="3C063B25" w14:textId="0C24D4A2" w:rsidR="0087657F" w:rsidRPr="00AB4A2D" w:rsidRDefault="00815488" w:rsidP="00815488">
            <w:pPr>
              <w:pStyle w:val="Institutionquisigne"/>
              <w:spacing w:before="0"/>
              <w:jc w:val="center"/>
              <w:rPr>
                <w:noProof/>
                <w:sz w:val="20"/>
              </w:rPr>
            </w:pPr>
            <w:r>
              <w:rPr>
                <w:noProof/>
                <w:sz w:val="20"/>
              </w:rPr>
              <w:t>37</w:t>
            </w:r>
          </w:p>
        </w:tc>
      </w:tr>
      <w:tr w:rsidR="0087657F" w:rsidRPr="00D92530" w14:paraId="0F0A2AB5" w14:textId="77777777" w:rsidTr="00462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4"/>
        </w:trPr>
        <w:tc>
          <w:tcPr>
            <w:tcW w:w="6911" w:type="dxa"/>
            <w:tcBorders>
              <w:top w:val="single" w:sz="4" w:space="0" w:color="auto"/>
              <w:left w:val="single" w:sz="4" w:space="0" w:color="auto"/>
              <w:bottom w:val="single" w:sz="4" w:space="0" w:color="auto"/>
              <w:right w:val="single" w:sz="4" w:space="0" w:color="auto"/>
            </w:tcBorders>
            <w:vAlign w:val="center"/>
          </w:tcPr>
          <w:p w14:paraId="69FB6E0D" w14:textId="77777777" w:rsidR="0087657F" w:rsidRPr="00BE1132" w:rsidRDefault="0087657F" w:rsidP="00E45665">
            <w:pPr>
              <w:spacing w:before="0" w:after="0"/>
              <w:rPr>
                <w:i/>
                <w:noProof/>
                <w:sz w:val="20"/>
              </w:rPr>
            </w:pPr>
            <w:r w:rsidRPr="00BE1132">
              <w:rPr>
                <w:noProof/>
                <w:sz w:val="20"/>
              </w:rPr>
              <w:t xml:space="preserve">Number of applicants for or beneficiaries of international protection transferred in </w:t>
            </w:r>
          </w:p>
        </w:tc>
        <w:tc>
          <w:tcPr>
            <w:tcW w:w="2376" w:type="dxa"/>
            <w:tcBorders>
              <w:top w:val="single" w:sz="4" w:space="0" w:color="auto"/>
              <w:left w:val="single" w:sz="4" w:space="0" w:color="auto"/>
              <w:bottom w:val="single" w:sz="4" w:space="0" w:color="auto"/>
              <w:right w:val="single" w:sz="4" w:space="0" w:color="auto"/>
            </w:tcBorders>
          </w:tcPr>
          <w:p w14:paraId="6DB9E16E" w14:textId="57091974" w:rsidR="0087657F" w:rsidRPr="00AB4A2D" w:rsidRDefault="00815488" w:rsidP="00815488">
            <w:pPr>
              <w:pStyle w:val="Institutionquisigne"/>
              <w:spacing w:before="0"/>
              <w:jc w:val="center"/>
              <w:rPr>
                <w:noProof/>
                <w:sz w:val="20"/>
              </w:rPr>
            </w:pPr>
            <w:r>
              <w:rPr>
                <w:noProof/>
                <w:sz w:val="20"/>
              </w:rPr>
              <w:t>6</w:t>
            </w:r>
          </w:p>
        </w:tc>
      </w:tr>
      <w:tr w:rsidR="0087657F" w:rsidRPr="00D92530" w14:paraId="13AB8612" w14:textId="77777777" w:rsidTr="004629B2">
        <w:trPr>
          <w:trHeight w:val="650"/>
        </w:trPr>
        <w:tc>
          <w:tcPr>
            <w:tcW w:w="6911" w:type="dxa"/>
            <w:tcBorders>
              <w:top w:val="single" w:sz="4" w:space="0" w:color="auto"/>
            </w:tcBorders>
            <w:vAlign w:val="center"/>
          </w:tcPr>
          <w:p w14:paraId="14150B0B" w14:textId="77777777" w:rsidR="0087657F" w:rsidRPr="00BE1132" w:rsidRDefault="0087657F" w:rsidP="00E45665">
            <w:pPr>
              <w:spacing w:before="0" w:after="0"/>
              <w:rPr>
                <w:i/>
                <w:noProof/>
                <w:sz w:val="20"/>
              </w:rPr>
            </w:pPr>
            <w:r w:rsidRPr="00BE1132">
              <w:rPr>
                <w:noProof/>
                <w:sz w:val="20"/>
              </w:rPr>
              <w:t>Number of applicants for or beneficiaries of international protection transferred out</w:t>
            </w:r>
          </w:p>
        </w:tc>
        <w:tc>
          <w:tcPr>
            <w:tcW w:w="2376" w:type="dxa"/>
            <w:tcBorders>
              <w:top w:val="single" w:sz="4" w:space="0" w:color="auto"/>
            </w:tcBorders>
          </w:tcPr>
          <w:p w14:paraId="06555BB3" w14:textId="62E2BACB" w:rsidR="0087657F" w:rsidRPr="00AB4A2D" w:rsidRDefault="00815488" w:rsidP="00815488">
            <w:pPr>
              <w:pStyle w:val="Institutionquisigne"/>
              <w:spacing w:before="0"/>
              <w:jc w:val="center"/>
              <w:rPr>
                <w:noProof/>
                <w:sz w:val="20"/>
              </w:rPr>
            </w:pPr>
            <w:r>
              <w:rPr>
                <w:noProof/>
                <w:sz w:val="20"/>
              </w:rPr>
              <w:t>0</w:t>
            </w:r>
          </w:p>
        </w:tc>
      </w:tr>
    </w:tbl>
    <w:p w14:paraId="3643222D" w14:textId="4DF233AF" w:rsidR="0087657F" w:rsidRPr="00BE1132" w:rsidRDefault="0087657F" w:rsidP="0087657F">
      <w:pPr>
        <w:rPr>
          <w:i/>
          <w:noProof/>
          <w:sz w:val="22"/>
        </w:rPr>
      </w:pPr>
      <w:r w:rsidRPr="00BE1132">
        <w:rPr>
          <w:noProof/>
          <w:sz w:val="22"/>
        </w:rPr>
        <w:t xml:space="preserve">If relevant, describe any corrections or </w:t>
      </w:r>
      <w:r w:rsidR="007C7AAC">
        <w:rPr>
          <w:noProof/>
          <w:sz w:val="22"/>
        </w:rPr>
        <w:t>changes</w:t>
      </w:r>
      <w:r w:rsidR="007C7AAC" w:rsidRPr="00BE1132">
        <w:rPr>
          <w:noProof/>
          <w:sz w:val="22"/>
        </w:rPr>
        <w:t xml:space="preserve"> </w:t>
      </w:r>
      <w:r w:rsidR="007C7AAC">
        <w:rPr>
          <w:noProof/>
          <w:sz w:val="22"/>
        </w:rPr>
        <w:t>made</w:t>
      </w:r>
      <w:r w:rsidR="007C7AAC" w:rsidRPr="00BE1132">
        <w:rPr>
          <w:noProof/>
          <w:sz w:val="22"/>
        </w:rPr>
        <w:t xml:space="preserve"> </w:t>
      </w:r>
      <w:r w:rsidRPr="00BE1132">
        <w:rPr>
          <w:noProof/>
          <w:sz w:val="22"/>
        </w:rPr>
        <w:t xml:space="preserve">to the values </w:t>
      </w:r>
      <w:r w:rsidR="00F3358C">
        <w:rPr>
          <w:noProof/>
          <w:sz w:val="22"/>
        </w:rPr>
        <w:t>sent</w:t>
      </w:r>
      <w:r w:rsidR="00F3358C" w:rsidRPr="00BE1132">
        <w:rPr>
          <w:noProof/>
          <w:sz w:val="22"/>
        </w:rPr>
        <w:t xml:space="preserve"> </w:t>
      </w:r>
      <w:r w:rsidRPr="00BE1132">
        <w:rPr>
          <w:noProof/>
          <w:sz w:val="22"/>
        </w:rPr>
        <w:t xml:space="preserve">bi-annually via the data transmission module in </w:t>
      </w:r>
      <w:r w:rsidR="00B8569E">
        <w:rPr>
          <w:noProof/>
          <w:sz w:val="22"/>
        </w:rPr>
        <w:t xml:space="preserve">the </w:t>
      </w:r>
      <w:r w:rsidR="00B8569E" w:rsidRPr="00B8569E">
        <w:rPr>
          <w:noProof/>
          <w:sz w:val="22"/>
        </w:rPr>
        <w:t>System for Fund Management in the European Union</w:t>
      </w:r>
      <w:r w:rsidR="00B8569E">
        <w:rPr>
          <w:noProof/>
          <w:sz w:val="22"/>
        </w:rPr>
        <w:t xml:space="preserve"> (</w:t>
      </w:r>
      <w:r w:rsidRPr="00BE1132">
        <w:rPr>
          <w:noProof/>
          <w:sz w:val="22"/>
        </w:rPr>
        <w:t>SFC</w:t>
      </w:r>
      <w:r w:rsidR="00B8569E">
        <w:rPr>
          <w:noProof/>
          <w:sz w:val="22"/>
        </w:rPr>
        <w:t>)</w:t>
      </w:r>
      <w:r w:rsidR="00ED3E23">
        <w:rPr>
          <w:noProof/>
          <w:sz w:val="22"/>
        </w:rPr>
        <w:t>,</w:t>
      </w:r>
      <w:r w:rsidRPr="00BE1132">
        <w:rPr>
          <w:noProof/>
          <w:sz w:val="22"/>
        </w:rPr>
        <w:t xml:space="preserve"> and </w:t>
      </w:r>
      <w:r w:rsidR="007C7AAC">
        <w:rPr>
          <w:noProof/>
          <w:sz w:val="22"/>
        </w:rPr>
        <w:t>which</w:t>
      </w:r>
      <w:r w:rsidR="00ED3E23">
        <w:rPr>
          <w:noProof/>
          <w:sz w:val="22"/>
        </w:rPr>
        <w:t xml:space="preserve"> </w:t>
      </w:r>
      <w:r w:rsidR="007C7AAC">
        <w:rPr>
          <w:noProof/>
          <w:sz w:val="22"/>
        </w:rPr>
        <w:t xml:space="preserve">are </w:t>
      </w:r>
      <w:r w:rsidRPr="00BE1132">
        <w:rPr>
          <w:noProof/>
          <w:sz w:val="22"/>
        </w:rPr>
        <w:t xml:space="preserve">reflected </w:t>
      </w:r>
      <w:r w:rsidR="00B8569E">
        <w:rPr>
          <w:noProof/>
          <w:sz w:val="22"/>
        </w:rPr>
        <w:t xml:space="preserve">in the table </w:t>
      </w:r>
      <w:r w:rsidRPr="00BE1132">
        <w:rPr>
          <w:noProof/>
          <w:sz w:val="22"/>
        </w:rPr>
        <w:t xml:space="preserve">above in the consolidated figures for the accounting year. </w:t>
      </w:r>
    </w:p>
    <w:tbl>
      <w:tblPr>
        <w:tblStyle w:val="Grilledutableau"/>
        <w:tblW w:w="0" w:type="auto"/>
        <w:tblLook w:val="04A0" w:firstRow="1" w:lastRow="0" w:firstColumn="1" w:lastColumn="0" w:noHBand="0" w:noVBand="1"/>
      </w:tblPr>
      <w:tblGrid>
        <w:gridCol w:w="9063"/>
      </w:tblGrid>
      <w:tr w:rsidR="0087657F" w14:paraId="633E6559" w14:textId="77777777" w:rsidTr="00E45665">
        <w:tc>
          <w:tcPr>
            <w:tcW w:w="9289" w:type="dxa"/>
          </w:tcPr>
          <w:p w14:paraId="050D0E0A" w14:textId="1A0144F4" w:rsidR="0087657F" w:rsidRDefault="00815488" w:rsidP="00241BA6">
            <w:pPr>
              <w:pStyle w:val="Personnequisigne"/>
              <w:rPr>
                <w:noProof/>
                <w:sz w:val="22"/>
              </w:rPr>
            </w:pPr>
            <w:r>
              <w:rPr>
                <w:noProof/>
                <w:sz w:val="22"/>
              </w:rPr>
              <w:t xml:space="preserve">The </w:t>
            </w:r>
            <w:r w:rsidR="00792913">
              <w:rPr>
                <w:noProof/>
                <w:sz w:val="22"/>
              </w:rPr>
              <w:t xml:space="preserve">reported </w:t>
            </w:r>
            <w:r w:rsidR="00792913">
              <w:rPr>
                <w:noProof/>
                <w:sz w:val="22"/>
              </w:rPr>
              <w:t xml:space="preserve">numbers </w:t>
            </w:r>
            <w:r w:rsidR="00792913">
              <w:rPr>
                <w:noProof/>
                <w:sz w:val="22"/>
              </w:rPr>
              <w:t xml:space="preserve">concern controlled persons. Those </w:t>
            </w:r>
            <w:r>
              <w:rPr>
                <w:noProof/>
                <w:sz w:val="22"/>
              </w:rPr>
              <w:t>controls were only carried out in the 2</w:t>
            </w:r>
            <w:r w:rsidRPr="00815488">
              <w:rPr>
                <w:noProof/>
                <w:sz w:val="22"/>
                <w:vertAlign w:val="superscript"/>
              </w:rPr>
              <w:t>nd</w:t>
            </w:r>
            <w:r>
              <w:rPr>
                <w:noProof/>
                <w:sz w:val="22"/>
              </w:rPr>
              <w:t xml:space="preserve"> semester of 2023.</w:t>
            </w:r>
          </w:p>
          <w:p w14:paraId="4882F6AF" w14:textId="60DC78A4" w:rsidR="00815488" w:rsidRPr="00815488" w:rsidRDefault="00815488" w:rsidP="00815488">
            <w:pPr>
              <w:pStyle w:val="Institutionquisigne"/>
            </w:pPr>
          </w:p>
        </w:tc>
      </w:tr>
    </w:tbl>
    <w:p w14:paraId="6BC2F600" w14:textId="3E4E1C74" w:rsidR="0087657F" w:rsidRPr="00450B1B" w:rsidRDefault="0005722E" w:rsidP="0005722E">
      <w:pPr>
        <w:pStyle w:val="ManualHeading2"/>
        <w:rPr>
          <w:noProof/>
        </w:rPr>
      </w:pPr>
      <w:r w:rsidRPr="0005722E">
        <w:lastRenderedPageBreak/>
        <w:t>1.7.</w:t>
      </w:r>
      <w:r w:rsidRPr="0005722E">
        <w:tab/>
      </w:r>
      <w:r w:rsidR="0087657F" w:rsidRPr="00450B1B">
        <w:rPr>
          <w:noProof/>
        </w:rPr>
        <w:t>Only in 2024</w:t>
      </w:r>
      <w:r w:rsidR="00ED3E23">
        <w:rPr>
          <w:noProof/>
        </w:rPr>
        <w:t>:</w:t>
      </w:r>
      <w:r w:rsidR="0087657F" w:rsidRPr="00450B1B">
        <w:rPr>
          <w:noProof/>
        </w:rPr>
        <w:t xml:space="preserve"> Continuation of projects – Article 39(4)</w:t>
      </w:r>
      <w:r w:rsidR="008B1A84">
        <w:rPr>
          <w:noProof/>
        </w:rPr>
        <w:t>,</w:t>
      </w:r>
      <w:r w:rsidR="0087657F" w:rsidRPr="00450B1B">
        <w:rPr>
          <w:noProof/>
        </w:rPr>
        <w:t xml:space="preserve"> point </w:t>
      </w:r>
      <w:r w:rsidR="0087657F">
        <w:rPr>
          <w:noProof/>
        </w:rPr>
        <w:t>(</w:t>
      </w:r>
      <w:r w:rsidR="0087657F" w:rsidRPr="00450B1B">
        <w:rPr>
          <w:noProof/>
        </w:rPr>
        <w:t>e</w:t>
      </w:r>
      <w:r w:rsidR="0087657F">
        <w:rPr>
          <w:noProof/>
        </w:rPr>
        <w:t>)</w:t>
      </w:r>
      <w:r w:rsidR="001D21A1">
        <w:rPr>
          <w:noProof/>
        </w:rPr>
        <w:t>, of Regulation (EU) 2021/1147</w:t>
      </w:r>
    </w:p>
    <w:p w14:paraId="316442B4" w14:textId="5FB5A4C0" w:rsidR="0087657F" w:rsidRDefault="0060652B" w:rsidP="0087657F">
      <w:pPr>
        <w:rPr>
          <w:noProof/>
          <w:sz w:val="22"/>
        </w:rPr>
      </w:pPr>
      <w:r>
        <w:rPr>
          <w:noProof/>
          <w:sz w:val="22"/>
        </w:rPr>
        <w:t>R</w:t>
      </w:r>
      <w:r w:rsidR="0087657F">
        <w:rPr>
          <w:noProof/>
          <w:sz w:val="22"/>
        </w:rPr>
        <w:t xml:space="preserve">eport on any projects </w:t>
      </w:r>
      <w:r w:rsidR="0087657F" w:rsidRPr="0083279C">
        <w:rPr>
          <w:noProof/>
          <w:sz w:val="22"/>
        </w:rPr>
        <w:t>continue</w:t>
      </w:r>
      <w:r w:rsidR="0087657F">
        <w:rPr>
          <w:noProof/>
          <w:sz w:val="22"/>
        </w:rPr>
        <w:t>d</w:t>
      </w:r>
      <w:r w:rsidR="0087657F" w:rsidRPr="0083279C">
        <w:rPr>
          <w:noProof/>
          <w:sz w:val="22"/>
        </w:rPr>
        <w:t xml:space="preserve"> after 1</w:t>
      </w:r>
      <w:r w:rsidR="0071685A">
        <w:rPr>
          <w:noProof/>
          <w:sz w:val="22"/>
        </w:rPr>
        <w:t> </w:t>
      </w:r>
      <w:r w:rsidR="0087657F" w:rsidRPr="0083279C">
        <w:rPr>
          <w:noProof/>
          <w:sz w:val="22"/>
        </w:rPr>
        <w:t>January</w:t>
      </w:r>
      <w:r w:rsidR="0071685A">
        <w:rPr>
          <w:noProof/>
          <w:sz w:val="22"/>
        </w:rPr>
        <w:t> </w:t>
      </w:r>
      <w:r w:rsidR="0087657F" w:rsidRPr="0083279C">
        <w:rPr>
          <w:noProof/>
          <w:sz w:val="22"/>
        </w:rPr>
        <w:t xml:space="preserve">2021 </w:t>
      </w:r>
      <w:r w:rsidR="00ED3E23">
        <w:rPr>
          <w:noProof/>
          <w:sz w:val="22"/>
        </w:rPr>
        <w:t xml:space="preserve">that were </w:t>
      </w:r>
      <w:r w:rsidR="0087657F" w:rsidRPr="0083279C">
        <w:rPr>
          <w:noProof/>
          <w:sz w:val="22"/>
        </w:rPr>
        <w:t>selected and started under Regulation (EU) No 516/2014</w:t>
      </w:r>
      <w:r w:rsidR="003A6A89">
        <w:rPr>
          <w:noProof/>
          <w:sz w:val="22"/>
        </w:rPr>
        <w:t xml:space="preserve"> of the European Parliament and of the Council</w:t>
      </w:r>
      <w:r w:rsidR="00202C38">
        <w:rPr>
          <w:rStyle w:val="Appelnotedebasdep"/>
          <w:noProof/>
          <w:sz w:val="22"/>
        </w:rPr>
        <w:footnoteReference w:id="16"/>
      </w:r>
      <w:r w:rsidR="0087657F" w:rsidRPr="0083279C">
        <w:rPr>
          <w:noProof/>
          <w:sz w:val="22"/>
        </w:rPr>
        <w:t>, in accordance with Regulation (EU) No 514/2014</w:t>
      </w:r>
      <w:r w:rsidR="003A6A89">
        <w:rPr>
          <w:noProof/>
          <w:sz w:val="22"/>
        </w:rPr>
        <w:t xml:space="preserve"> of the European Parliament and of the Council</w:t>
      </w:r>
      <w:r w:rsidR="0059250C">
        <w:rPr>
          <w:rStyle w:val="Appelnotedebasdep"/>
          <w:noProof/>
          <w:sz w:val="22"/>
        </w:rPr>
        <w:footnoteReference w:id="17"/>
      </w:r>
      <w:r w:rsidR="0087657F">
        <w:rPr>
          <w:noProof/>
          <w:sz w:val="22"/>
        </w:rPr>
        <w:t>.</w:t>
      </w:r>
    </w:p>
    <w:tbl>
      <w:tblPr>
        <w:tblStyle w:val="Grilledutableau"/>
        <w:tblW w:w="0" w:type="auto"/>
        <w:tblLook w:val="04A0" w:firstRow="1" w:lastRow="0" w:firstColumn="1" w:lastColumn="0" w:noHBand="0" w:noVBand="1"/>
      </w:tblPr>
      <w:tblGrid>
        <w:gridCol w:w="9063"/>
      </w:tblGrid>
      <w:tr w:rsidR="0087657F" w14:paraId="6D0919D3" w14:textId="77777777" w:rsidTr="00E45665">
        <w:tc>
          <w:tcPr>
            <w:tcW w:w="9289" w:type="dxa"/>
          </w:tcPr>
          <w:p w14:paraId="7A26F2E2" w14:textId="77777777" w:rsidR="0087657F" w:rsidRDefault="00986DFD" w:rsidP="00986DFD">
            <w:pPr>
              <w:pStyle w:val="Personnequisigne"/>
              <w:rPr>
                <w:noProof/>
                <w:sz w:val="22"/>
              </w:rPr>
            </w:pPr>
            <w:r>
              <w:rPr>
                <w:noProof/>
                <w:sz w:val="22"/>
              </w:rPr>
              <w:t>Not applicable.</w:t>
            </w:r>
          </w:p>
          <w:p w14:paraId="6E5FD206" w14:textId="33F5DCDE" w:rsidR="00986DFD" w:rsidRPr="00986DFD" w:rsidRDefault="00986DFD" w:rsidP="00986DFD">
            <w:pPr>
              <w:pStyle w:val="Institutionquisigne"/>
            </w:pPr>
          </w:p>
        </w:tc>
      </w:tr>
    </w:tbl>
    <w:p w14:paraId="1130B85B" w14:textId="2CEA9475" w:rsidR="0087657F" w:rsidRPr="000133CF" w:rsidRDefault="0005722E" w:rsidP="0005722E">
      <w:pPr>
        <w:pStyle w:val="ManualHeading1"/>
        <w:rPr>
          <w:noProof/>
        </w:rPr>
      </w:pPr>
      <w:r w:rsidRPr="0005722E">
        <w:t>2.</w:t>
      </w:r>
      <w:r w:rsidRPr="0005722E">
        <w:tab/>
      </w:r>
      <w:r w:rsidR="0087657F" w:rsidRPr="000133CF">
        <w:rPr>
          <w:noProof/>
        </w:rPr>
        <w:t>Complementarity – Article 35(2)</w:t>
      </w:r>
      <w:r w:rsidR="008B1A84">
        <w:rPr>
          <w:noProof/>
        </w:rPr>
        <w:t>,</w:t>
      </w:r>
      <w:r w:rsidR="0087657F" w:rsidRPr="000133CF">
        <w:rPr>
          <w:noProof/>
        </w:rPr>
        <w:t xml:space="preserve"> point (c)</w:t>
      </w:r>
      <w:r w:rsidR="008B1A84">
        <w:rPr>
          <w:noProof/>
        </w:rPr>
        <w:t>,</w:t>
      </w:r>
      <w:r w:rsidR="0087657F" w:rsidRPr="000133CF">
        <w:rPr>
          <w:noProof/>
        </w:rPr>
        <w:t xml:space="preserve"> of Regulation (EU) 2021/1147</w:t>
      </w:r>
    </w:p>
    <w:p w14:paraId="151D228C" w14:textId="66A501AB" w:rsidR="0037290B" w:rsidRDefault="0060652B" w:rsidP="0037290B">
      <w:pPr>
        <w:pStyle w:val="Titrearticle"/>
        <w:spacing w:before="240"/>
        <w:jc w:val="both"/>
        <w:rPr>
          <w:noProof/>
        </w:rPr>
      </w:pPr>
      <w:r>
        <w:rPr>
          <w:i w:val="0"/>
          <w:noProof/>
          <w:sz w:val="22"/>
        </w:rPr>
        <w:t>D</w:t>
      </w:r>
      <w:r w:rsidR="0087657F" w:rsidRPr="00450B1B">
        <w:rPr>
          <w:i w:val="0"/>
          <w:noProof/>
          <w:sz w:val="22"/>
        </w:rPr>
        <w:t xml:space="preserve">escribe the complementarity </w:t>
      </w:r>
      <w:r w:rsidR="0087657F">
        <w:rPr>
          <w:i w:val="0"/>
          <w:noProof/>
          <w:sz w:val="22"/>
        </w:rPr>
        <w:t>and</w:t>
      </w:r>
      <w:r w:rsidR="00CD67EB">
        <w:rPr>
          <w:i w:val="0"/>
          <w:noProof/>
          <w:sz w:val="22"/>
        </w:rPr>
        <w:t>, if relevant,</w:t>
      </w:r>
      <w:r w:rsidR="0087657F">
        <w:rPr>
          <w:i w:val="0"/>
          <w:noProof/>
          <w:sz w:val="22"/>
        </w:rPr>
        <w:t xml:space="preserve"> synergies achieved during the accounting year </w:t>
      </w:r>
      <w:r w:rsidR="0087657F" w:rsidRPr="00450B1B">
        <w:rPr>
          <w:i w:val="0"/>
          <w:noProof/>
          <w:sz w:val="22"/>
        </w:rPr>
        <w:t xml:space="preserve">between the actions supported </w:t>
      </w:r>
      <w:r w:rsidR="00FC1EE3">
        <w:rPr>
          <w:i w:val="0"/>
          <w:noProof/>
          <w:sz w:val="22"/>
        </w:rPr>
        <w:t>by</w:t>
      </w:r>
      <w:r w:rsidR="00FC1EE3" w:rsidRPr="00450B1B">
        <w:rPr>
          <w:i w:val="0"/>
          <w:noProof/>
          <w:sz w:val="22"/>
        </w:rPr>
        <w:t xml:space="preserve"> </w:t>
      </w:r>
      <w:r w:rsidR="0087657F" w:rsidRPr="00450B1B">
        <w:rPr>
          <w:i w:val="0"/>
          <w:noProof/>
          <w:sz w:val="22"/>
        </w:rPr>
        <w:t xml:space="preserve">the </w:t>
      </w:r>
      <w:r w:rsidR="00153209">
        <w:rPr>
          <w:i w:val="0"/>
          <w:noProof/>
          <w:sz w:val="22"/>
        </w:rPr>
        <w:t>f</w:t>
      </w:r>
      <w:r w:rsidR="0087657F" w:rsidRPr="00450B1B">
        <w:rPr>
          <w:i w:val="0"/>
          <w:noProof/>
          <w:sz w:val="22"/>
        </w:rPr>
        <w:t xml:space="preserve">und and the support provided by other </w:t>
      </w:r>
      <w:r w:rsidR="00E36216">
        <w:rPr>
          <w:i w:val="0"/>
          <w:noProof/>
          <w:sz w:val="22"/>
        </w:rPr>
        <w:t>Union</w:t>
      </w:r>
      <w:r w:rsidR="00E36216" w:rsidRPr="00450B1B">
        <w:rPr>
          <w:i w:val="0"/>
          <w:noProof/>
          <w:sz w:val="22"/>
        </w:rPr>
        <w:t xml:space="preserve"> </w:t>
      </w:r>
      <w:r w:rsidR="0087657F" w:rsidRPr="00450B1B">
        <w:rPr>
          <w:i w:val="0"/>
          <w:noProof/>
          <w:sz w:val="22"/>
        </w:rPr>
        <w:t xml:space="preserve">funds, </w:t>
      </w:r>
      <w:r w:rsidR="0087657F" w:rsidRPr="005C06A4">
        <w:rPr>
          <w:i w:val="0"/>
          <w:noProof/>
          <w:sz w:val="22"/>
        </w:rPr>
        <w:t xml:space="preserve">in particular </w:t>
      </w:r>
      <w:r w:rsidR="0087657F">
        <w:rPr>
          <w:i w:val="0"/>
          <w:noProof/>
          <w:sz w:val="22"/>
        </w:rPr>
        <w:t xml:space="preserve">external </w:t>
      </w:r>
      <w:r w:rsidR="001C0807">
        <w:rPr>
          <w:i w:val="0"/>
          <w:noProof/>
          <w:sz w:val="22"/>
        </w:rPr>
        <w:t xml:space="preserve">financing </w:t>
      </w:r>
      <w:r w:rsidR="0087657F">
        <w:rPr>
          <w:i w:val="0"/>
          <w:noProof/>
          <w:sz w:val="22"/>
        </w:rPr>
        <w:t>instruments,</w:t>
      </w:r>
      <w:r w:rsidR="001C0807">
        <w:rPr>
          <w:rStyle w:val="Appelnotedebasdep"/>
          <w:i w:val="0"/>
          <w:noProof/>
          <w:sz w:val="22"/>
        </w:rPr>
        <w:footnoteReference w:id="18"/>
      </w:r>
      <w:r w:rsidR="0087657F">
        <w:rPr>
          <w:i w:val="0"/>
          <w:noProof/>
          <w:sz w:val="22"/>
        </w:rPr>
        <w:t xml:space="preserve"> the European Social Fund + (ESF+) or its predecessors, </w:t>
      </w:r>
      <w:r w:rsidR="00532177">
        <w:rPr>
          <w:i w:val="0"/>
          <w:noProof/>
          <w:sz w:val="22"/>
        </w:rPr>
        <w:t xml:space="preserve">European Regional Development Fund (ERDF) – be it under the Investment for Jobs and Growth or the European Territorial Cooperation goals </w:t>
      </w:r>
      <w:r>
        <w:rPr>
          <w:i w:val="0"/>
          <w:noProof/>
          <w:sz w:val="22"/>
        </w:rPr>
        <w:t>–</w:t>
      </w:r>
      <w:r w:rsidR="00532177">
        <w:rPr>
          <w:i w:val="0"/>
          <w:noProof/>
          <w:sz w:val="22"/>
        </w:rPr>
        <w:t xml:space="preserve">, the </w:t>
      </w:r>
      <w:r w:rsidR="00532177" w:rsidRPr="00D43D3E">
        <w:rPr>
          <w:i w:val="0"/>
          <w:noProof/>
          <w:sz w:val="22"/>
        </w:rPr>
        <w:t xml:space="preserve">Internal Security Fund </w:t>
      </w:r>
      <w:r w:rsidR="00532177">
        <w:rPr>
          <w:i w:val="0"/>
          <w:noProof/>
          <w:sz w:val="22"/>
        </w:rPr>
        <w:t xml:space="preserve">(ISF) and the </w:t>
      </w:r>
      <w:r w:rsidR="00532177" w:rsidRPr="00D43D3E">
        <w:rPr>
          <w:i w:val="0"/>
          <w:noProof/>
          <w:sz w:val="22"/>
        </w:rPr>
        <w:t xml:space="preserve">Border Management and Visa Instrument </w:t>
      </w:r>
      <w:r w:rsidR="00532177">
        <w:rPr>
          <w:i w:val="0"/>
          <w:noProof/>
          <w:sz w:val="22"/>
        </w:rPr>
        <w:t>(BMVI).</w:t>
      </w:r>
      <w:r w:rsidR="00532177">
        <w:rPr>
          <w:rStyle w:val="Appelnotedebasdep"/>
          <w:i w:val="0"/>
          <w:noProof/>
          <w:sz w:val="22"/>
        </w:rPr>
        <w:footnoteReference w:id="19"/>
      </w:r>
      <w:r>
        <w:rPr>
          <w:i w:val="0"/>
          <w:noProof/>
          <w:sz w:val="22"/>
        </w:rPr>
        <w:t xml:space="preserve"> </w:t>
      </w:r>
    </w:p>
    <w:p w14:paraId="19C32423" w14:textId="746CFF4B" w:rsidR="0087657F" w:rsidRDefault="0060652B" w:rsidP="0037290B">
      <w:pPr>
        <w:pStyle w:val="Titrearticle"/>
        <w:spacing w:before="240"/>
        <w:jc w:val="both"/>
        <w:rPr>
          <w:i w:val="0"/>
          <w:noProof/>
          <w:sz w:val="22"/>
        </w:rPr>
      </w:pPr>
      <w:r>
        <w:rPr>
          <w:i w:val="0"/>
          <w:noProof/>
          <w:sz w:val="22"/>
        </w:rPr>
        <w:t>P</w:t>
      </w:r>
      <w:r w:rsidR="0087657F">
        <w:rPr>
          <w:i w:val="0"/>
          <w:noProof/>
          <w:sz w:val="22"/>
        </w:rPr>
        <w:t>ay specific attention to:</w:t>
      </w:r>
    </w:p>
    <w:p w14:paraId="6E4E0CEE" w14:textId="6DAA1163" w:rsidR="0087657F" w:rsidRPr="0037290B" w:rsidRDefault="0087657F" w:rsidP="00636FE6">
      <w:pPr>
        <w:pStyle w:val="Tiret0"/>
        <w:numPr>
          <w:ilvl w:val="0"/>
          <w:numId w:val="10"/>
        </w:numPr>
        <w:rPr>
          <w:i/>
          <w:noProof/>
          <w:sz w:val="22"/>
        </w:rPr>
      </w:pPr>
      <w:r w:rsidRPr="0037290B">
        <w:rPr>
          <w:noProof/>
          <w:sz w:val="22"/>
        </w:rPr>
        <w:t xml:space="preserve">complementarity with </w:t>
      </w:r>
      <w:r w:rsidR="00E36216">
        <w:rPr>
          <w:noProof/>
          <w:sz w:val="22"/>
        </w:rPr>
        <w:t>Union’s</w:t>
      </w:r>
      <w:r w:rsidR="00E36216" w:rsidRPr="0037290B">
        <w:rPr>
          <w:noProof/>
          <w:sz w:val="22"/>
        </w:rPr>
        <w:t xml:space="preserve"> </w:t>
      </w:r>
      <w:r w:rsidRPr="0037290B">
        <w:rPr>
          <w:noProof/>
          <w:sz w:val="22"/>
        </w:rPr>
        <w:t xml:space="preserve">external </w:t>
      </w:r>
      <w:r w:rsidR="00B043A6">
        <w:rPr>
          <w:noProof/>
          <w:sz w:val="22"/>
        </w:rPr>
        <w:t xml:space="preserve">financing </w:t>
      </w:r>
      <w:r w:rsidRPr="0037290B">
        <w:rPr>
          <w:noProof/>
          <w:sz w:val="22"/>
        </w:rPr>
        <w:t xml:space="preserve">instruments for actions taken in or in relation to third countries, underlining the </w:t>
      </w:r>
      <w:r w:rsidR="0071685A">
        <w:rPr>
          <w:noProof/>
          <w:sz w:val="22"/>
        </w:rPr>
        <w:t>aspects that are consistent</w:t>
      </w:r>
      <w:r w:rsidRPr="0037290B">
        <w:rPr>
          <w:noProof/>
          <w:sz w:val="22"/>
        </w:rPr>
        <w:t xml:space="preserve"> with the principles and general objectives of the </w:t>
      </w:r>
      <w:r w:rsidR="00E36216">
        <w:rPr>
          <w:noProof/>
          <w:sz w:val="22"/>
        </w:rPr>
        <w:t>Union</w:t>
      </w:r>
      <w:r w:rsidR="00E36216" w:rsidRPr="0037290B">
        <w:rPr>
          <w:noProof/>
          <w:sz w:val="22"/>
        </w:rPr>
        <w:t xml:space="preserve">’s </w:t>
      </w:r>
      <w:r w:rsidRPr="0037290B">
        <w:rPr>
          <w:noProof/>
          <w:sz w:val="22"/>
        </w:rPr>
        <w:t>external policy</w:t>
      </w:r>
      <w:r w:rsidR="003A6A89">
        <w:rPr>
          <w:noProof/>
          <w:sz w:val="22"/>
        </w:rPr>
        <w:t>;</w:t>
      </w:r>
      <w:r w:rsidRPr="0037290B">
        <w:rPr>
          <w:noProof/>
          <w:sz w:val="22"/>
        </w:rPr>
        <w:t xml:space="preserve"> </w:t>
      </w:r>
      <w:r w:rsidR="0060652B">
        <w:rPr>
          <w:noProof/>
          <w:sz w:val="22"/>
        </w:rPr>
        <w:t>and</w:t>
      </w:r>
    </w:p>
    <w:p w14:paraId="5D8A3416" w14:textId="5ECB0598" w:rsidR="00B66713" w:rsidRDefault="0087657F" w:rsidP="00B66713">
      <w:pPr>
        <w:pStyle w:val="Tiret0"/>
        <w:numPr>
          <w:ilvl w:val="0"/>
          <w:numId w:val="10"/>
        </w:numPr>
        <w:rPr>
          <w:noProof/>
          <w:sz w:val="22"/>
        </w:rPr>
      </w:pPr>
      <w:r w:rsidRPr="0037290B">
        <w:rPr>
          <w:noProof/>
          <w:sz w:val="22"/>
        </w:rPr>
        <w:t xml:space="preserve">the </w:t>
      </w:r>
      <w:r w:rsidR="00C54DF4">
        <w:rPr>
          <w:noProof/>
          <w:sz w:val="22"/>
        </w:rPr>
        <w:t xml:space="preserve">use of </w:t>
      </w:r>
      <w:r w:rsidR="00B66713">
        <w:rPr>
          <w:noProof/>
          <w:sz w:val="22"/>
        </w:rPr>
        <w:t xml:space="preserve">enabling mechanisms, such as </w:t>
      </w:r>
      <w:r w:rsidRPr="0037290B">
        <w:rPr>
          <w:noProof/>
          <w:sz w:val="22"/>
        </w:rPr>
        <w:t xml:space="preserve">existing organisational and procedural arrangements that help achieve synergies and complementarities, and to any actions implemented to </w:t>
      </w:r>
      <w:r w:rsidR="0001528B">
        <w:rPr>
          <w:noProof/>
          <w:sz w:val="22"/>
        </w:rPr>
        <w:t>improve</w:t>
      </w:r>
      <w:r w:rsidR="0001528B" w:rsidRPr="0037290B">
        <w:rPr>
          <w:noProof/>
          <w:sz w:val="22"/>
        </w:rPr>
        <w:t xml:space="preserve"> </w:t>
      </w:r>
      <w:r w:rsidRPr="0037290B">
        <w:rPr>
          <w:noProof/>
          <w:sz w:val="22"/>
        </w:rPr>
        <w:t>them in the accounting year.</w:t>
      </w:r>
    </w:p>
    <w:p w14:paraId="48829898" w14:textId="5E83E43C" w:rsidR="00B66713" w:rsidRPr="003811CC" w:rsidRDefault="00B66713" w:rsidP="003811CC">
      <w:pPr>
        <w:rPr>
          <w:noProof/>
          <w:sz w:val="22"/>
        </w:rPr>
      </w:pPr>
      <w:r w:rsidRPr="003811CC">
        <w:rPr>
          <w:noProof/>
          <w:sz w:val="22"/>
        </w:rPr>
        <w:t>If relevant, describe also the complementarity of the activities carried out from the perspective of strengthening inter-agency cooperation.</w:t>
      </w:r>
      <w:r w:rsidRPr="00823793">
        <w:rPr>
          <w:rStyle w:val="Appelnotedebasdep"/>
          <w:noProof/>
          <w:sz w:val="22"/>
        </w:rPr>
        <w:footnoteReference w:id="20"/>
      </w:r>
    </w:p>
    <w:tbl>
      <w:tblPr>
        <w:tblStyle w:val="Grilledutableau"/>
        <w:tblW w:w="0" w:type="auto"/>
        <w:tblLook w:val="04A0" w:firstRow="1" w:lastRow="0" w:firstColumn="1" w:lastColumn="0" w:noHBand="0" w:noVBand="1"/>
      </w:tblPr>
      <w:tblGrid>
        <w:gridCol w:w="9063"/>
      </w:tblGrid>
      <w:tr w:rsidR="0087657F" w:rsidRPr="0033233F" w14:paraId="01C0D4CF" w14:textId="77777777" w:rsidTr="00E45665">
        <w:tc>
          <w:tcPr>
            <w:tcW w:w="9289" w:type="dxa"/>
          </w:tcPr>
          <w:p w14:paraId="239C430D" w14:textId="57B6C7F2" w:rsidR="005343BB" w:rsidRPr="0087440A" w:rsidRDefault="00262589" w:rsidP="00150589">
            <w:pPr>
              <w:pStyle w:val="Institutionquisigne"/>
              <w:spacing w:before="0"/>
              <w:rPr>
                <w:i w:val="0"/>
                <w:noProof/>
                <w:sz w:val="22"/>
              </w:rPr>
            </w:pPr>
            <w:r w:rsidRPr="0087440A">
              <w:rPr>
                <w:i w:val="0"/>
                <w:noProof/>
                <w:sz w:val="22"/>
              </w:rPr>
              <w:lastRenderedPageBreak/>
              <w:t>D</w:t>
            </w:r>
            <w:r w:rsidR="0014687F" w:rsidRPr="0087440A">
              <w:rPr>
                <w:i w:val="0"/>
                <w:noProof/>
                <w:sz w:val="22"/>
              </w:rPr>
              <w:t>uring the reporting period no Home Affairs Funds</w:t>
            </w:r>
            <w:r w:rsidR="005343BB" w:rsidRPr="0087440A">
              <w:rPr>
                <w:i w:val="0"/>
                <w:noProof/>
                <w:sz w:val="22"/>
              </w:rPr>
              <w:t xml:space="preserve"> activities</w:t>
            </w:r>
            <w:r w:rsidR="0014687F" w:rsidRPr="0087440A">
              <w:rPr>
                <w:i w:val="0"/>
                <w:noProof/>
                <w:sz w:val="22"/>
              </w:rPr>
              <w:t xml:space="preserve"> </w:t>
            </w:r>
            <w:r w:rsidR="005343BB" w:rsidRPr="0087440A">
              <w:rPr>
                <w:i w:val="0"/>
                <w:noProof/>
                <w:sz w:val="22"/>
              </w:rPr>
              <w:t>complementary with</w:t>
            </w:r>
            <w:r w:rsidR="0014687F" w:rsidRPr="0087440A">
              <w:rPr>
                <w:i w:val="0"/>
                <w:noProof/>
                <w:sz w:val="22"/>
              </w:rPr>
              <w:t xml:space="preserve"> other funds </w:t>
            </w:r>
            <w:r w:rsidR="005343BB" w:rsidRPr="0087440A">
              <w:rPr>
                <w:i w:val="0"/>
                <w:noProof/>
                <w:sz w:val="22"/>
              </w:rPr>
              <w:t>activities have been implemented (excepted for FSE+).</w:t>
            </w:r>
          </w:p>
          <w:p w14:paraId="1A217831" w14:textId="77777777" w:rsidR="00262589" w:rsidRPr="0087440A" w:rsidRDefault="00262589" w:rsidP="00150589">
            <w:pPr>
              <w:pStyle w:val="Personnequisigne"/>
              <w:jc w:val="both"/>
              <w:rPr>
                <w:i w:val="0"/>
                <w:noProof/>
                <w:sz w:val="22"/>
              </w:rPr>
            </w:pPr>
          </w:p>
          <w:p w14:paraId="1C08347F" w14:textId="3CF85EB0" w:rsidR="00D565F0" w:rsidRPr="0087440A" w:rsidRDefault="005343BB" w:rsidP="00150589">
            <w:pPr>
              <w:pStyle w:val="Institutionquisigne"/>
              <w:spacing w:before="0"/>
              <w:rPr>
                <w:i w:val="0"/>
                <w:noProof/>
                <w:sz w:val="22"/>
              </w:rPr>
            </w:pPr>
            <w:r w:rsidRPr="0087440A">
              <w:rPr>
                <w:i w:val="0"/>
                <w:noProof/>
                <w:sz w:val="22"/>
              </w:rPr>
              <w:t>However c</w:t>
            </w:r>
            <w:r w:rsidR="0033233F" w:rsidRPr="0087440A">
              <w:rPr>
                <w:i w:val="0"/>
                <w:noProof/>
                <w:sz w:val="22"/>
              </w:rPr>
              <w:t xml:space="preserve">onsultations are regularly organised within our Steering Committee </w:t>
            </w:r>
            <w:r w:rsidR="00D565F0" w:rsidRPr="0087440A">
              <w:rPr>
                <w:i w:val="0"/>
                <w:noProof/>
                <w:sz w:val="22"/>
              </w:rPr>
              <w:t xml:space="preserve">and Monitoring Committee </w:t>
            </w:r>
            <w:r w:rsidR="0033233F" w:rsidRPr="0087440A">
              <w:rPr>
                <w:i w:val="0"/>
                <w:noProof/>
                <w:sz w:val="22"/>
              </w:rPr>
              <w:t xml:space="preserve">where representatives of the cabinets responsible for Foreign Affairs (External relation instruments), Social Integration, Interior (ex. Horizon 2020) and Asylum-Migration are present. </w:t>
            </w:r>
          </w:p>
          <w:p w14:paraId="1F555729" w14:textId="77777777" w:rsidR="00262589" w:rsidRPr="0087440A" w:rsidRDefault="00262589" w:rsidP="00150589">
            <w:pPr>
              <w:pStyle w:val="Personnequisigne"/>
              <w:jc w:val="both"/>
              <w:rPr>
                <w:i w:val="0"/>
                <w:noProof/>
                <w:sz w:val="22"/>
              </w:rPr>
            </w:pPr>
          </w:p>
          <w:p w14:paraId="27682B3D" w14:textId="255EBF12" w:rsidR="0033233F" w:rsidRPr="0087440A" w:rsidRDefault="0033233F" w:rsidP="00150589">
            <w:pPr>
              <w:pStyle w:val="Institutionquisigne"/>
              <w:spacing w:before="0"/>
              <w:rPr>
                <w:i w:val="0"/>
                <w:noProof/>
                <w:sz w:val="22"/>
              </w:rPr>
            </w:pPr>
            <w:r w:rsidRPr="0087440A">
              <w:rPr>
                <w:i w:val="0"/>
                <w:noProof/>
                <w:sz w:val="22"/>
              </w:rPr>
              <w:t xml:space="preserve">When they introduce a </w:t>
            </w:r>
            <w:r w:rsidR="00D565F0" w:rsidRPr="0087440A">
              <w:rPr>
                <w:i w:val="0"/>
                <w:noProof/>
                <w:sz w:val="22"/>
              </w:rPr>
              <w:t>new project, all project promoto</w:t>
            </w:r>
            <w:r w:rsidRPr="0087440A">
              <w:rPr>
                <w:i w:val="0"/>
                <w:noProof/>
                <w:sz w:val="22"/>
              </w:rPr>
              <w:t>rs are also requested to provide information on other sources of European funding they benefit from and how the risk of double financing will be avoided. This provides additional useful information to the Managing Authority.</w:t>
            </w:r>
          </w:p>
          <w:p w14:paraId="3ED4C9B1" w14:textId="77777777" w:rsidR="00262589" w:rsidRPr="0087440A" w:rsidRDefault="00262589" w:rsidP="00150589">
            <w:pPr>
              <w:pStyle w:val="Personnequisigne"/>
              <w:jc w:val="both"/>
              <w:rPr>
                <w:i w:val="0"/>
                <w:noProof/>
                <w:sz w:val="22"/>
              </w:rPr>
            </w:pPr>
          </w:p>
          <w:p w14:paraId="624F92CF" w14:textId="0CF3CED9" w:rsidR="0033233F" w:rsidRPr="0087440A" w:rsidRDefault="0033233F" w:rsidP="00150589">
            <w:pPr>
              <w:pStyle w:val="Institutionquisigne"/>
              <w:spacing w:before="0"/>
              <w:rPr>
                <w:i w:val="0"/>
                <w:noProof/>
                <w:sz w:val="22"/>
              </w:rPr>
            </w:pPr>
            <w:r w:rsidRPr="0087440A">
              <w:rPr>
                <w:i w:val="0"/>
                <w:noProof/>
                <w:sz w:val="22"/>
              </w:rPr>
              <w:t xml:space="preserve">A coordination mechanism has been set up with the Intermediary </w:t>
            </w:r>
            <w:r w:rsidR="00D565F0" w:rsidRPr="0087440A">
              <w:rPr>
                <w:i w:val="0"/>
                <w:noProof/>
                <w:sz w:val="22"/>
              </w:rPr>
              <w:t>Bodies</w:t>
            </w:r>
            <w:r w:rsidRPr="0087440A">
              <w:rPr>
                <w:i w:val="0"/>
                <w:noProof/>
                <w:sz w:val="22"/>
              </w:rPr>
              <w:t xml:space="preserve"> (Flanders and the Wallonia-Brussels Federation) </w:t>
            </w:r>
            <w:r w:rsidR="00D565F0" w:rsidRPr="0087440A">
              <w:rPr>
                <w:i w:val="0"/>
                <w:noProof/>
                <w:sz w:val="22"/>
              </w:rPr>
              <w:t xml:space="preserve">- </w:t>
            </w:r>
            <w:r w:rsidRPr="0087440A">
              <w:rPr>
                <w:i w:val="0"/>
                <w:noProof/>
                <w:sz w:val="22"/>
              </w:rPr>
              <w:t>who are also the ESF</w:t>
            </w:r>
            <w:r w:rsidR="00D565F0" w:rsidRPr="0087440A">
              <w:rPr>
                <w:i w:val="0"/>
                <w:noProof/>
                <w:sz w:val="22"/>
              </w:rPr>
              <w:t>+</w:t>
            </w:r>
            <w:r w:rsidRPr="0087440A">
              <w:rPr>
                <w:i w:val="0"/>
                <w:noProof/>
                <w:sz w:val="22"/>
              </w:rPr>
              <w:t xml:space="preserve"> </w:t>
            </w:r>
            <w:r w:rsidR="00D565F0" w:rsidRPr="0087440A">
              <w:rPr>
                <w:i w:val="0"/>
                <w:noProof/>
                <w:sz w:val="22"/>
              </w:rPr>
              <w:t>Managing</w:t>
            </w:r>
            <w:r w:rsidRPr="0087440A">
              <w:rPr>
                <w:i w:val="0"/>
                <w:noProof/>
                <w:sz w:val="22"/>
              </w:rPr>
              <w:t xml:space="preserve"> Authorities </w:t>
            </w:r>
            <w:r w:rsidR="00D565F0" w:rsidRPr="0087440A">
              <w:rPr>
                <w:i w:val="0"/>
                <w:noProof/>
                <w:sz w:val="22"/>
              </w:rPr>
              <w:t xml:space="preserve">- </w:t>
            </w:r>
            <w:r w:rsidRPr="0087440A">
              <w:rPr>
                <w:i w:val="0"/>
                <w:noProof/>
                <w:sz w:val="22"/>
              </w:rPr>
              <w:t>to ensure complementarity and good coordination</w:t>
            </w:r>
            <w:r w:rsidR="00D565F0" w:rsidRPr="0087440A">
              <w:rPr>
                <w:i w:val="0"/>
                <w:noProof/>
                <w:sz w:val="22"/>
              </w:rPr>
              <w:t xml:space="preserve"> between AMIF and ESF+</w:t>
            </w:r>
            <w:r w:rsidRPr="0087440A">
              <w:rPr>
                <w:i w:val="0"/>
                <w:noProof/>
                <w:sz w:val="22"/>
              </w:rPr>
              <w:t>.</w:t>
            </w:r>
          </w:p>
          <w:p w14:paraId="00530519" w14:textId="77777777" w:rsidR="00262589" w:rsidRPr="0087440A" w:rsidRDefault="00262589" w:rsidP="00150589">
            <w:pPr>
              <w:pStyle w:val="Personnequisigne"/>
              <w:jc w:val="both"/>
              <w:rPr>
                <w:i w:val="0"/>
                <w:noProof/>
                <w:sz w:val="22"/>
              </w:rPr>
            </w:pPr>
          </w:p>
          <w:p w14:paraId="1FB23AD0" w14:textId="77777777" w:rsidR="0087440A" w:rsidRDefault="0087440A" w:rsidP="00150589">
            <w:pPr>
              <w:pStyle w:val="Personnequisigne"/>
              <w:jc w:val="both"/>
              <w:rPr>
                <w:i w:val="0"/>
                <w:noProof/>
                <w:sz w:val="22"/>
              </w:rPr>
            </w:pPr>
            <w:r>
              <w:rPr>
                <w:i w:val="0"/>
                <w:noProof/>
                <w:sz w:val="22"/>
              </w:rPr>
              <w:t>With regard to the Wallonia – Brussels federation,</w:t>
            </w:r>
            <w:r w:rsidRPr="0087440A">
              <w:rPr>
                <w:i w:val="0"/>
                <w:noProof/>
                <w:sz w:val="22"/>
              </w:rPr>
              <w:t xml:space="preserve"> 19 beneficiaries are supported by AMIF and ESF+. AMIF focuses on the reception and integration of newcomers from third countries and the ESF+ on the socio-inclusion of vulnerable audiences or lifelong learning of jobseekers or workers. The projects are complementary and distinct.</w:t>
            </w:r>
          </w:p>
          <w:p w14:paraId="12200097" w14:textId="77777777" w:rsidR="0087440A" w:rsidRDefault="0087440A" w:rsidP="00150589">
            <w:pPr>
              <w:pStyle w:val="Personnequisigne"/>
              <w:jc w:val="both"/>
              <w:rPr>
                <w:i w:val="0"/>
                <w:noProof/>
                <w:sz w:val="22"/>
              </w:rPr>
            </w:pPr>
          </w:p>
          <w:p w14:paraId="174EBA84" w14:textId="73DE930C" w:rsidR="0087440A" w:rsidRPr="0087440A" w:rsidRDefault="0087440A" w:rsidP="00150589">
            <w:pPr>
              <w:pStyle w:val="Personnequisigne"/>
              <w:jc w:val="both"/>
              <w:rPr>
                <w:i w:val="0"/>
                <w:noProof/>
                <w:sz w:val="22"/>
              </w:rPr>
            </w:pPr>
            <w:r>
              <w:rPr>
                <w:i w:val="0"/>
                <w:noProof/>
                <w:sz w:val="22"/>
              </w:rPr>
              <w:t>In Flanders, c</w:t>
            </w:r>
            <w:r w:rsidRPr="0087440A">
              <w:rPr>
                <w:i w:val="0"/>
                <w:noProof/>
                <w:sz w:val="22"/>
              </w:rPr>
              <w:t>omplementarity, synergy and coordination between ESF+ and AMIF is ensured trough joint management of the funds by Europa WSE. ESF+ is used for socio-professional inclusion of vulnerable groups. AMIF is used for complementary actions for newcomers from third countries that are in the beginning of their integration process.</w:t>
            </w:r>
          </w:p>
          <w:p w14:paraId="63F9D081" w14:textId="114FCA72" w:rsidR="0087440A" w:rsidRPr="0087440A" w:rsidRDefault="0087440A" w:rsidP="0087440A">
            <w:pPr>
              <w:pStyle w:val="Institutionquisigne"/>
            </w:pPr>
          </w:p>
        </w:tc>
      </w:tr>
    </w:tbl>
    <w:p w14:paraId="5DB0CAE9" w14:textId="6E1B6B26" w:rsidR="0087657F" w:rsidRPr="000133CF" w:rsidRDefault="0005722E" w:rsidP="0005722E">
      <w:pPr>
        <w:pStyle w:val="ManualHeading1"/>
        <w:rPr>
          <w:noProof/>
        </w:rPr>
      </w:pPr>
      <w:r w:rsidRPr="0005722E">
        <w:t>3.</w:t>
      </w:r>
      <w:r w:rsidRPr="0005722E">
        <w:tab/>
      </w:r>
      <w:r w:rsidR="0087657F" w:rsidRPr="000133CF">
        <w:rPr>
          <w:noProof/>
        </w:rPr>
        <w:t xml:space="preserve">Implementation of </w:t>
      </w:r>
      <w:r w:rsidR="0071685A">
        <w:rPr>
          <w:noProof/>
        </w:rPr>
        <w:t xml:space="preserve">the </w:t>
      </w:r>
      <w:r w:rsidR="00E36216">
        <w:rPr>
          <w:noProof/>
        </w:rPr>
        <w:t>Union</w:t>
      </w:r>
      <w:r w:rsidR="00E36216" w:rsidRPr="000133CF">
        <w:rPr>
          <w:noProof/>
        </w:rPr>
        <w:t xml:space="preserve"> </w:t>
      </w:r>
      <w:r w:rsidR="0087657F" w:rsidRPr="007027D4">
        <w:rPr>
          <w:i/>
          <w:noProof/>
        </w:rPr>
        <w:t>acquis</w:t>
      </w:r>
      <w:r w:rsidR="0087657F" w:rsidRPr="000133CF">
        <w:rPr>
          <w:noProof/>
        </w:rPr>
        <w:t xml:space="preserve">, cooperation and solidarity – </w:t>
      </w:r>
      <w:r w:rsidR="00857C22">
        <w:rPr>
          <w:noProof/>
        </w:rPr>
        <w:t>A</w:t>
      </w:r>
      <w:r w:rsidR="0087657F" w:rsidRPr="000133CF">
        <w:rPr>
          <w:noProof/>
        </w:rPr>
        <w:t>rticle 35(2)</w:t>
      </w:r>
      <w:r w:rsidR="00D70BC5">
        <w:rPr>
          <w:noProof/>
        </w:rPr>
        <w:t>,</w:t>
      </w:r>
      <w:r w:rsidR="0087657F" w:rsidRPr="000133CF">
        <w:rPr>
          <w:noProof/>
        </w:rPr>
        <w:t xml:space="preserve"> point (d)</w:t>
      </w:r>
      <w:r w:rsidR="00D70BC5">
        <w:rPr>
          <w:noProof/>
        </w:rPr>
        <w:t>,</w:t>
      </w:r>
      <w:r w:rsidR="0087657F" w:rsidRPr="000133CF">
        <w:rPr>
          <w:noProof/>
        </w:rPr>
        <w:t xml:space="preserve"> of Regulation (EU) 2021/1147</w:t>
      </w:r>
    </w:p>
    <w:p w14:paraId="626531F3" w14:textId="35874884" w:rsidR="0087657F" w:rsidRPr="00450B1B" w:rsidRDefault="007027D4" w:rsidP="0087657F">
      <w:pPr>
        <w:pStyle w:val="Titrearticle"/>
        <w:spacing w:before="240"/>
        <w:jc w:val="both"/>
        <w:rPr>
          <w:i w:val="0"/>
          <w:noProof/>
          <w:sz w:val="22"/>
        </w:rPr>
      </w:pPr>
      <w:r>
        <w:rPr>
          <w:i w:val="0"/>
          <w:noProof/>
          <w:sz w:val="22"/>
        </w:rPr>
        <w:t>D</w:t>
      </w:r>
      <w:r w:rsidR="0087657F" w:rsidRPr="00450B1B">
        <w:rPr>
          <w:i w:val="0"/>
          <w:noProof/>
          <w:sz w:val="22"/>
        </w:rPr>
        <w:t xml:space="preserve">escribe </w:t>
      </w:r>
      <w:r w:rsidR="00A97818">
        <w:rPr>
          <w:i w:val="0"/>
          <w:noProof/>
          <w:sz w:val="22"/>
        </w:rPr>
        <w:t>briefly</w:t>
      </w:r>
      <w:r w:rsidR="00A21690">
        <w:rPr>
          <w:i w:val="0"/>
          <w:noProof/>
          <w:sz w:val="22"/>
        </w:rPr>
        <w:t xml:space="preserve"> how,</w:t>
      </w:r>
      <w:r w:rsidR="00A97818">
        <w:rPr>
          <w:i w:val="0"/>
          <w:noProof/>
          <w:sz w:val="22"/>
        </w:rPr>
        <w:t xml:space="preserve"> </w:t>
      </w:r>
      <w:r w:rsidR="0087657F">
        <w:rPr>
          <w:i w:val="0"/>
          <w:noProof/>
          <w:sz w:val="22"/>
        </w:rPr>
        <w:t>during the accounting year</w:t>
      </w:r>
      <w:r w:rsidR="00A21690">
        <w:rPr>
          <w:i w:val="0"/>
          <w:noProof/>
          <w:sz w:val="22"/>
        </w:rPr>
        <w:t>, the programme contributed</w:t>
      </w:r>
      <w:r w:rsidR="0087657F">
        <w:rPr>
          <w:i w:val="0"/>
          <w:noProof/>
          <w:sz w:val="22"/>
        </w:rPr>
        <w:t xml:space="preserve"> </w:t>
      </w:r>
      <w:r w:rsidRPr="00450B1B">
        <w:rPr>
          <w:i w:val="0"/>
          <w:noProof/>
          <w:sz w:val="22"/>
        </w:rPr>
        <w:t>to implementing</w:t>
      </w:r>
      <w:r w:rsidR="0087657F" w:rsidRPr="00450B1B">
        <w:rPr>
          <w:i w:val="0"/>
          <w:noProof/>
          <w:sz w:val="22"/>
        </w:rPr>
        <w:t xml:space="preserve"> the </w:t>
      </w:r>
      <w:r w:rsidR="00E36216">
        <w:rPr>
          <w:i w:val="0"/>
          <w:noProof/>
          <w:sz w:val="22"/>
        </w:rPr>
        <w:t>Union</w:t>
      </w:r>
      <w:r w:rsidR="00E36216" w:rsidRPr="00450B1B">
        <w:rPr>
          <w:i w:val="0"/>
          <w:noProof/>
          <w:sz w:val="22"/>
        </w:rPr>
        <w:t xml:space="preserve"> </w:t>
      </w:r>
      <w:r w:rsidR="0087657F" w:rsidRPr="00450B1B">
        <w:rPr>
          <w:noProof/>
          <w:sz w:val="22"/>
        </w:rPr>
        <w:t>acquis</w:t>
      </w:r>
      <w:r w:rsidR="0087657F" w:rsidRPr="00450B1B">
        <w:rPr>
          <w:i w:val="0"/>
          <w:noProof/>
          <w:sz w:val="22"/>
        </w:rPr>
        <w:t> </w:t>
      </w:r>
      <w:r w:rsidR="0071685A">
        <w:rPr>
          <w:i w:val="0"/>
          <w:noProof/>
          <w:sz w:val="22"/>
        </w:rPr>
        <w:t>(</w:t>
      </w:r>
      <w:r w:rsidR="00ED3E23">
        <w:rPr>
          <w:i w:val="0"/>
          <w:noProof/>
          <w:sz w:val="22"/>
        </w:rPr>
        <w:t xml:space="preserve">the </w:t>
      </w:r>
      <w:r w:rsidR="0071685A">
        <w:rPr>
          <w:i w:val="0"/>
          <w:noProof/>
          <w:sz w:val="22"/>
        </w:rPr>
        <w:t xml:space="preserve">body of </w:t>
      </w:r>
      <w:r w:rsidR="003B7834">
        <w:rPr>
          <w:i w:val="0"/>
          <w:noProof/>
          <w:sz w:val="22"/>
        </w:rPr>
        <w:t xml:space="preserve">Union </w:t>
      </w:r>
      <w:r w:rsidR="0071685A">
        <w:rPr>
          <w:i w:val="0"/>
          <w:noProof/>
          <w:sz w:val="22"/>
        </w:rPr>
        <w:t xml:space="preserve">law) </w:t>
      </w:r>
      <w:r w:rsidR="0087657F" w:rsidRPr="003D6801">
        <w:rPr>
          <w:i w:val="0"/>
          <w:noProof/>
          <w:sz w:val="22"/>
        </w:rPr>
        <w:t xml:space="preserve">on </w:t>
      </w:r>
      <w:r w:rsidR="0087657F" w:rsidRPr="0093081F">
        <w:rPr>
          <w:i w:val="0"/>
          <w:noProof/>
          <w:sz w:val="22"/>
        </w:rPr>
        <w:t>asylum, legal migration, integration, return and irregular migration</w:t>
      </w:r>
      <w:r w:rsidR="0087657F">
        <w:rPr>
          <w:i w:val="0"/>
          <w:noProof/>
          <w:sz w:val="22"/>
        </w:rPr>
        <w:t xml:space="preserve"> </w:t>
      </w:r>
      <w:r w:rsidR="0087657F" w:rsidRPr="00450B1B">
        <w:rPr>
          <w:i w:val="0"/>
          <w:noProof/>
          <w:sz w:val="22"/>
        </w:rPr>
        <w:t xml:space="preserve">and </w:t>
      </w:r>
      <w:r w:rsidR="001D21A1">
        <w:rPr>
          <w:i w:val="0"/>
          <w:noProof/>
          <w:sz w:val="22"/>
        </w:rPr>
        <w:t xml:space="preserve">relevant </w:t>
      </w:r>
      <w:r w:rsidR="0087657F" w:rsidRPr="00450B1B">
        <w:rPr>
          <w:i w:val="0"/>
          <w:noProof/>
          <w:sz w:val="22"/>
        </w:rPr>
        <w:t>action plans</w:t>
      </w:r>
      <w:r w:rsidR="0037290B">
        <w:rPr>
          <w:i w:val="0"/>
          <w:noProof/>
          <w:sz w:val="22"/>
        </w:rPr>
        <w:t xml:space="preserve">, </w:t>
      </w:r>
      <w:r w:rsidR="00ED3E23">
        <w:rPr>
          <w:i w:val="0"/>
          <w:noProof/>
          <w:sz w:val="22"/>
        </w:rPr>
        <w:t>and</w:t>
      </w:r>
      <w:r w:rsidR="0087657F" w:rsidRPr="00450B1B">
        <w:rPr>
          <w:i w:val="0"/>
          <w:noProof/>
          <w:sz w:val="22"/>
        </w:rPr>
        <w:t xml:space="preserve"> to cooperation and solidarity between Member States</w:t>
      </w:r>
      <w:r w:rsidR="0087657F">
        <w:rPr>
          <w:i w:val="0"/>
          <w:noProof/>
          <w:sz w:val="22"/>
        </w:rPr>
        <w:t>.</w:t>
      </w:r>
    </w:p>
    <w:tbl>
      <w:tblPr>
        <w:tblStyle w:val="Grilledutableau"/>
        <w:tblW w:w="0" w:type="auto"/>
        <w:tblLook w:val="04A0" w:firstRow="1" w:lastRow="0" w:firstColumn="1" w:lastColumn="0" w:noHBand="0" w:noVBand="1"/>
      </w:tblPr>
      <w:tblGrid>
        <w:gridCol w:w="9063"/>
      </w:tblGrid>
      <w:tr w:rsidR="0087657F" w:rsidRPr="004465EB" w14:paraId="52B511CD" w14:textId="77777777" w:rsidTr="00E45665">
        <w:tc>
          <w:tcPr>
            <w:tcW w:w="9289" w:type="dxa"/>
          </w:tcPr>
          <w:p w14:paraId="1F98D1CF" w14:textId="0DE3495C" w:rsidR="004465EB" w:rsidRPr="004465EB" w:rsidRDefault="00C122CA" w:rsidP="004465EB">
            <w:pPr>
              <w:pStyle w:val="Institutionquisigne"/>
              <w:spacing w:before="0"/>
              <w:rPr>
                <w:lang w:val="en-US"/>
              </w:rPr>
            </w:pPr>
            <w:r w:rsidRPr="00C122CA">
              <w:rPr>
                <w:lang w:val="en-US"/>
              </w:rPr>
              <w:lastRenderedPageBreak/>
              <w:t>In the area of as</w:t>
            </w:r>
            <w:r w:rsidR="00150589">
              <w:rPr>
                <w:lang w:val="en-US"/>
              </w:rPr>
              <w:t>y</w:t>
            </w:r>
            <w:r w:rsidRPr="00C122CA">
              <w:rPr>
                <w:lang w:val="en-US"/>
              </w:rPr>
              <w:t>l</w:t>
            </w:r>
            <w:r w:rsidR="00150589">
              <w:rPr>
                <w:lang w:val="en-US"/>
              </w:rPr>
              <w:t>um</w:t>
            </w:r>
            <w:r w:rsidRPr="00C122CA">
              <w:rPr>
                <w:lang w:val="en-US"/>
              </w:rPr>
              <w:t>, one</w:t>
            </w:r>
            <w:r w:rsidR="004465EB" w:rsidRPr="004465EB">
              <w:rPr>
                <w:lang w:val="en-US"/>
              </w:rPr>
              <w:t xml:space="preserve"> project has as goal to actively support the activities of EASO/EUAA in different domains:</w:t>
            </w:r>
          </w:p>
          <w:p w14:paraId="44B5ACCB" w14:textId="77777777" w:rsidR="004465EB" w:rsidRPr="004465EB" w:rsidRDefault="004465EB" w:rsidP="004465EB">
            <w:pPr>
              <w:pStyle w:val="Institutionquisigne"/>
              <w:spacing w:before="0"/>
              <w:rPr>
                <w:lang w:val="en-US"/>
              </w:rPr>
            </w:pPr>
            <w:r w:rsidRPr="004465EB">
              <w:rPr>
                <w:lang w:val="en-US"/>
              </w:rPr>
              <w:t>- provision of asylum experts to EASO in the framework of operations in other EU Member States</w:t>
            </w:r>
          </w:p>
          <w:p w14:paraId="08B2C33D" w14:textId="77777777" w:rsidR="004465EB" w:rsidRPr="004465EB" w:rsidRDefault="004465EB" w:rsidP="004465EB">
            <w:pPr>
              <w:pStyle w:val="Institutionquisigne"/>
              <w:spacing w:before="0"/>
              <w:rPr>
                <w:lang w:val="en-US"/>
              </w:rPr>
            </w:pPr>
            <w:r w:rsidRPr="004465EB">
              <w:rPr>
                <w:lang w:val="en-US"/>
              </w:rPr>
              <w:t>- active contribution of experts to EASO/EUAA activities</w:t>
            </w:r>
          </w:p>
          <w:p w14:paraId="4CF8A652" w14:textId="77777777" w:rsidR="004465EB" w:rsidRPr="004465EB" w:rsidRDefault="004465EB" w:rsidP="004465EB">
            <w:pPr>
              <w:pStyle w:val="Institutionquisigne"/>
              <w:spacing w:before="0"/>
              <w:rPr>
                <w:lang w:val="en-US"/>
              </w:rPr>
            </w:pPr>
            <w:r w:rsidRPr="004465EB">
              <w:rPr>
                <w:lang w:val="en-US"/>
              </w:rPr>
              <w:t xml:space="preserve">- contribution to the development of COI (country of origin information) reports based on a common EU methodology; </w:t>
            </w:r>
          </w:p>
          <w:p w14:paraId="7A11633D" w14:textId="187A6A00" w:rsidR="004465EB" w:rsidRPr="004465EB" w:rsidRDefault="00150589" w:rsidP="004465EB">
            <w:pPr>
              <w:pStyle w:val="Institutionquisigne"/>
              <w:spacing w:before="0"/>
              <w:rPr>
                <w:lang w:val="en-US"/>
              </w:rPr>
            </w:pPr>
            <w:r>
              <w:rPr>
                <w:lang w:val="en-US"/>
              </w:rPr>
              <w:t>-promoting</w:t>
            </w:r>
            <w:r w:rsidR="004465EB" w:rsidRPr="004465EB">
              <w:rPr>
                <w:lang w:val="en-US"/>
              </w:rPr>
              <w:t xml:space="preserve"> </w:t>
            </w:r>
            <w:proofErr w:type="spellStart"/>
            <w:r w:rsidR="004465EB" w:rsidRPr="004465EB">
              <w:rPr>
                <w:lang w:val="en-US"/>
              </w:rPr>
              <w:t>harmonisation</w:t>
            </w:r>
            <w:proofErr w:type="spellEnd"/>
            <w:r w:rsidR="004465EB" w:rsidRPr="004465EB">
              <w:rPr>
                <w:lang w:val="en-US"/>
              </w:rPr>
              <w:t xml:space="preserve"> of methodology and knowledge sharing on COI</w:t>
            </w:r>
            <w:r>
              <w:rPr>
                <w:lang w:val="en-US"/>
              </w:rPr>
              <w:t>.</w:t>
            </w:r>
          </w:p>
          <w:p w14:paraId="081917FF" w14:textId="3822DD96" w:rsidR="004465EB" w:rsidRDefault="004465EB" w:rsidP="004465EB">
            <w:pPr>
              <w:pStyle w:val="Institutionquisigne"/>
              <w:spacing w:before="0"/>
              <w:rPr>
                <w:lang w:val="en-US"/>
              </w:rPr>
            </w:pPr>
            <w:r w:rsidRPr="004465EB">
              <w:rPr>
                <w:lang w:val="en-US"/>
              </w:rPr>
              <w:t>During the reporting period, only a limited part of the project started.</w:t>
            </w:r>
          </w:p>
          <w:p w14:paraId="2C9B9444" w14:textId="12E58BAD" w:rsidR="008F2E66" w:rsidRDefault="008F2E66" w:rsidP="008F2E66">
            <w:pPr>
              <w:pStyle w:val="Personnequisigne"/>
              <w:rPr>
                <w:lang w:val="en-US"/>
              </w:rPr>
            </w:pPr>
          </w:p>
          <w:p w14:paraId="0B2C191C" w14:textId="4EA1FA78" w:rsidR="008F2E66" w:rsidRPr="008F2E66" w:rsidRDefault="008F2E66" w:rsidP="008F2E66">
            <w:pPr>
              <w:pStyle w:val="Institutionquisigne"/>
              <w:rPr>
                <w:lang w:val="en-US"/>
              </w:rPr>
            </w:pPr>
            <w:r>
              <w:rPr>
                <w:lang w:val="en-US"/>
              </w:rPr>
              <w:t xml:space="preserve">In the area of return, one project directly contributed to </w:t>
            </w:r>
            <w:proofErr w:type="spellStart"/>
            <w:r>
              <w:rPr>
                <w:lang w:val="en-US"/>
              </w:rPr>
              <w:t>implemention</w:t>
            </w:r>
            <w:proofErr w:type="spellEnd"/>
            <w:r>
              <w:rPr>
                <w:lang w:val="en-US"/>
              </w:rPr>
              <w:t xml:space="preserve"> of the Return Directive (2005/115/CE) by providing for an effective forced-return </w:t>
            </w:r>
            <w:r w:rsidRPr="008F2E66">
              <w:rPr>
                <w:lang w:val="en-US"/>
              </w:rPr>
              <w:t>monitoring system.</w:t>
            </w:r>
          </w:p>
          <w:p w14:paraId="45BA366D" w14:textId="77777777" w:rsidR="004465EB" w:rsidRPr="004465EB" w:rsidRDefault="004465EB" w:rsidP="004465EB">
            <w:pPr>
              <w:pStyle w:val="Institutionquisigne"/>
              <w:spacing w:before="0"/>
              <w:rPr>
                <w:lang w:val="en-US"/>
              </w:rPr>
            </w:pPr>
          </w:p>
          <w:p w14:paraId="4E369333" w14:textId="2D1D6A5F" w:rsidR="00D85203" w:rsidRDefault="004465EB" w:rsidP="004465EB">
            <w:pPr>
              <w:pStyle w:val="Institutionquisigne"/>
              <w:rPr>
                <w:lang w:val="en-US"/>
              </w:rPr>
            </w:pPr>
            <w:r w:rsidRPr="004465EB">
              <w:rPr>
                <w:lang w:val="en-US"/>
              </w:rPr>
              <w:t>Another project has as focus to produce statistics to meet European obligation</w:t>
            </w:r>
            <w:r w:rsidR="00150589">
              <w:rPr>
                <w:lang w:val="en-US"/>
              </w:rPr>
              <w:t>s</w:t>
            </w:r>
            <w:r w:rsidRPr="004465EB">
              <w:rPr>
                <w:lang w:val="en-US"/>
              </w:rPr>
              <w:t xml:space="preserve"> (mainly Eurostat, EASO and </w:t>
            </w:r>
            <w:proofErr w:type="spellStart"/>
            <w:r w:rsidRPr="004465EB">
              <w:rPr>
                <w:lang w:val="en-US"/>
              </w:rPr>
              <w:t>Frontex</w:t>
            </w:r>
            <w:proofErr w:type="spellEnd"/>
            <w:r w:rsidRPr="004465EB">
              <w:rPr>
                <w:lang w:val="en-US"/>
              </w:rPr>
              <w:t>). It has been launched at administrative level and some statistic works could be initiated.</w:t>
            </w:r>
          </w:p>
          <w:p w14:paraId="5F3A17EF" w14:textId="19438449" w:rsidR="00150589" w:rsidRPr="00150589" w:rsidRDefault="00150589" w:rsidP="00150589">
            <w:pPr>
              <w:pStyle w:val="Personnequisigne"/>
              <w:rPr>
                <w:lang w:val="en-US"/>
              </w:rPr>
            </w:pPr>
          </w:p>
        </w:tc>
      </w:tr>
    </w:tbl>
    <w:p w14:paraId="0778C77C" w14:textId="02180243" w:rsidR="0087657F" w:rsidRPr="000133CF" w:rsidRDefault="0005722E" w:rsidP="0005722E">
      <w:pPr>
        <w:pStyle w:val="ManualHeading1"/>
        <w:rPr>
          <w:noProof/>
        </w:rPr>
      </w:pPr>
      <w:r w:rsidRPr="0005722E">
        <w:t>4.</w:t>
      </w:r>
      <w:r w:rsidRPr="0005722E">
        <w:tab/>
      </w:r>
      <w:r w:rsidR="0087657F" w:rsidRPr="000133CF">
        <w:rPr>
          <w:noProof/>
        </w:rPr>
        <w:t>Communication and Visibility – Article 35(2)</w:t>
      </w:r>
      <w:r w:rsidR="00D70BC5">
        <w:rPr>
          <w:noProof/>
        </w:rPr>
        <w:t>,</w:t>
      </w:r>
      <w:r w:rsidR="0087657F" w:rsidRPr="000133CF">
        <w:rPr>
          <w:noProof/>
        </w:rPr>
        <w:t xml:space="preserve"> point (e)</w:t>
      </w:r>
      <w:r w:rsidR="00D70BC5">
        <w:rPr>
          <w:noProof/>
        </w:rPr>
        <w:t>,</w:t>
      </w:r>
      <w:r w:rsidR="0087657F" w:rsidRPr="000133CF">
        <w:rPr>
          <w:noProof/>
        </w:rPr>
        <w:t xml:space="preserve"> of Regulation (EU) 2021/1147</w:t>
      </w:r>
    </w:p>
    <w:p w14:paraId="3F8983A3" w14:textId="3A732E11" w:rsidR="0087657F" w:rsidRPr="00450B1B" w:rsidRDefault="007027D4" w:rsidP="0087657F">
      <w:pPr>
        <w:pStyle w:val="Titrearticle"/>
        <w:spacing w:before="240"/>
        <w:jc w:val="both"/>
        <w:rPr>
          <w:i w:val="0"/>
          <w:noProof/>
          <w:sz w:val="22"/>
        </w:rPr>
      </w:pPr>
      <w:r>
        <w:rPr>
          <w:i w:val="0"/>
          <w:noProof/>
          <w:sz w:val="22"/>
        </w:rPr>
        <w:t>Describe</w:t>
      </w:r>
      <w:r w:rsidR="0087657F" w:rsidRPr="00B028E6">
        <w:rPr>
          <w:i w:val="0"/>
          <w:noProof/>
          <w:sz w:val="22"/>
        </w:rPr>
        <w:t xml:space="preserve"> </w:t>
      </w:r>
      <w:r w:rsidR="00EB15FB">
        <w:rPr>
          <w:i w:val="0"/>
          <w:noProof/>
          <w:sz w:val="22"/>
        </w:rPr>
        <w:t>how</w:t>
      </w:r>
      <w:r w:rsidR="0087657F" w:rsidRPr="00B028E6">
        <w:rPr>
          <w:i w:val="0"/>
          <w:noProof/>
          <w:sz w:val="22"/>
        </w:rPr>
        <w:t xml:space="preserve"> communication and visibility </w:t>
      </w:r>
      <w:r w:rsidR="00EB15FB">
        <w:rPr>
          <w:i w:val="0"/>
          <w:noProof/>
          <w:sz w:val="22"/>
        </w:rPr>
        <w:t>activities</w:t>
      </w:r>
      <w:r w:rsidR="00EB15FB" w:rsidRPr="00B028E6">
        <w:rPr>
          <w:i w:val="0"/>
          <w:noProof/>
          <w:sz w:val="22"/>
        </w:rPr>
        <w:t xml:space="preserve"> </w:t>
      </w:r>
      <w:r w:rsidR="00EB15FB">
        <w:rPr>
          <w:i w:val="0"/>
          <w:noProof/>
          <w:sz w:val="22"/>
        </w:rPr>
        <w:t xml:space="preserve">were carried out </w:t>
      </w:r>
      <w:r w:rsidR="0087657F" w:rsidRPr="00B028E6">
        <w:rPr>
          <w:i w:val="0"/>
          <w:noProof/>
          <w:sz w:val="22"/>
        </w:rPr>
        <w:t xml:space="preserve">during the </w:t>
      </w:r>
      <w:r w:rsidR="0087657F" w:rsidRPr="005C06A4">
        <w:rPr>
          <w:i w:val="0"/>
          <w:noProof/>
          <w:sz w:val="22"/>
        </w:rPr>
        <w:t>accounting</w:t>
      </w:r>
      <w:r w:rsidR="0087657F" w:rsidRPr="00B028E6">
        <w:rPr>
          <w:i w:val="0"/>
          <w:noProof/>
          <w:sz w:val="22"/>
        </w:rPr>
        <w:t xml:space="preserve"> year</w:t>
      </w:r>
      <w:r w:rsidR="0087657F" w:rsidRPr="214BD2DF">
        <w:rPr>
          <w:i w:val="0"/>
          <w:noProof/>
          <w:sz w:val="22"/>
        </w:rPr>
        <w:t xml:space="preserve">. </w:t>
      </w:r>
      <w:r w:rsidR="0087657F">
        <w:rPr>
          <w:i w:val="0"/>
          <w:noProof/>
          <w:sz w:val="22"/>
        </w:rPr>
        <w:t xml:space="preserve">In particular, </w:t>
      </w:r>
      <w:r w:rsidR="0060652B">
        <w:rPr>
          <w:i w:val="0"/>
          <w:noProof/>
          <w:sz w:val="22"/>
        </w:rPr>
        <w:t>r</w:t>
      </w:r>
      <w:r w:rsidR="0087657F">
        <w:rPr>
          <w:i w:val="0"/>
          <w:noProof/>
          <w:sz w:val="22"/>
        </w:rPr>
        <w:t xml:space="preserve">efer to any progress made </w:t>
      </w:r>
      <w:r w:rsidR="007C7AAC">
        <w:rPr>
          <w:i w:val="0"/>
          <w:noProof/>
          <w:sz w:val="22"/>
        </w:rPr>
        <w:t>on</w:t>
      </w:r>
      <w:r w:rsidR="0087657F">
        <w:rPr>
          <w:i w:val="0"/>
          <w:noProof/>
          <w:sz w:val="22"/>
        </w:rPr>
        <w:t xml:space="preserve"> the objectives </w:t>
      </w:r>
      <w:r w:rsidR="0071685A">
        <w:rPr>
          <w:i w:val="0"/>
          <w:noProof/>
          <w:sz w:val="22"/>
        </w:rPr>
        <w:t xml:space="preserve">set out </w:t>
      </w:r>
      <w:r w:rsidR="0087657F">
        <w:rPr>
          <w:i w:val="0"/>
          <w:noProof/>
          <w:sz w:val="22"/>
        </w:rPr>
        <w:t>in the communication strategy</w:t>
      </w:r>
      <w:r w:rsidR="00EB15FB">
        <w:rPr>
          <w:i w:val="0"/>
          <w:noProof/>
          <w:sz w:val="22"/>
        </w:rPr>
        <w:t>,</w:t>
      </w:r>
      <w:r w:rsidR="0087657F">
        <w:rPr>
          <w:i w:val="0"/>
          <w:noProof/>
          <w:sz w:val="22"/>
        </w:rPr>
        <w:t xml:space="preserve"> as measured by the relevant indicators and their targets. If relevant, describe </w:t>
      </w:r>
      <w:r w:rsidR="007C7AAC">
        <w:rPr>
          <w:i w:val="0"/>
          <w:noProof/>
          <w:sz w:val="22"/>
        </w:rPr>
        <w:t>any</w:t>
      </w:r>
      <w:r w:rsidR="0087657F">
        <w:rPr>
          <w:i w:val="0"/>
          <w:noProof/>
          <w:sz w:val="22"/>
        </w:rPr>
        <w:t xml:space="preserve"> good practices in reaching out to the target groups and/ or disseminating and exploiting the results of the projects</w:t>
      </w:r>
      <w:r w:rsidR="0087657F" w:rsidRPr="214BD2DF">
        <w:rPr>
          <w:i w:val="0"/>
          <w:noProof/>
          <w:sz w:val="22"/>
        </w:rPr>
        <w:t>.</w:t>
      </w:r>
    </w:p>
    <w:tbl>
      <w:tblPr>
        <w:tblStyle w:val="Grilledutableau"/>
        <w:tblW w:w="0" w:type="auto"/>
        <w:tblLook w:val="04A0" w:firstRow="1" w:lastRow="0" w:firstColumn="1" w:lastColumn="0" w:noHBand="0" w:noVBand="1"/>
      </w:tblPr>
      <w:tblGrid>
        <w:gridCol w:w="9063"/>
      </w:tblGrid>
      <w:tr w:rsidR="0087657F" w:rsidRPr="00BD2AB1" w14:paraId="276D9E44" w14:textId="77777777" w:rsidTr="00E45665">
        <w:tc>
          <w:tcPr>
            <w:tcW w:w="9289" w:type="dxa"/>
          </w:tcPr>
          <w:p w14:paraId="090AF89A" w14:textId="021AF3CE" w:rsidR="00101D84" w:rsidRPr="003035B0" w:rsidRDefault="00101D84" w:rsidP="00101D84">
            <w:pPr>
              <w:pStyle w:val="Personnequisigne"/>
              <w:numPr>
                <w:ilvl w:val="0"/>
                <w:numId w:val="30"/>
              </w:numPr>
              <w:rPr>
                <w:szCs w:val="24"/>
                <w:lang w:val="fr-BE"/>
              </w:rPr>
            </w:pPr>
            <w:r w:rsidRPr="003035B0">
              <w:rPr>
                <w:szCs w:val="24"/>
                <w:lang w:val="fr-BE"/>
              </w:rPr>
              <w:t xml:space="preserve">Site internet </w:t>
            </w:r>
            <w:r w:rsidR="00F12B2A">
              <w:rPr>
                <w:szCs w:val="24"/>
                <w:lang w:val="fr-BE"/>
              </w:rPr>
              <w:t>(</w:t>
            </w:r>
            <w:r w:rsidR="00F12B2A" w:rsidRPr="003035B0">
              <w:rPr>
                <w:szCs w:val="24"/>
                <w:lang w:val="fr-BE"/>
              </w:rPr>
              <w:t>ar</w:t>
            </w:r>
            <w:r w:rsidR="00762921">
              <w:rPr>
                <w:szCs w:val="24"/>
                <w:lang w:val="fr-BE"/>
              </w:rPr>
              <w:t>t.</w:t>
            </w:r>
            <w:r w:rsidR="00F12B2A" w:rsidRPr="003035B0">
              <w:rPr>
                <w:szCs w:val="24"/>
                <w:lang w:val="fr-BE"/>
              </w:rPr>
              <w:t xml:space="preserve"> 49§1</w:t>
            </w:r>
            <w:r w:rsidR="00F12B2A">
              <w:rPr>
                <w:szCs w:val="24"/>
                <w:lang w:val="fr-BE"/>
              </w:rPr>
              <w:t xml:space="preserve"> du </w:t>
            </w:r>
            <w:proofErr w:type="spellStart"/>
            <w:r w:rsidR="00F12B2A">
              <w:rPr>
                <w:szCs w:val="24"/>
                <w:lang w:val="fr-BE"/>
              </w:rPr>
              <w:t>Règlmenent</w:t>
            </w:r>
            <w:proofErr w:type="spellEnd"/>
            <w:r w:rsidR="00F12B2A">
              <w:rPr>
                <w:szCs w:val="24"/>
                <w:lang w:val="fr-BE"/>
              </w:rPr>
              <w:t xml:space="preserve"> (UE) 2021/1060</w:t>
            </w:r>
            <w:r w:rsidR="00345E16">
              <w:rPr>
                <w:szCs w:val="24"/>
                <w:lang w:val="fr-BE"/>
              </w:rPr>
              <w:t>)</w:t>
            </w:r>
          </w:p>
          <w:p w14:paraId="04EFED19" w14:textId="1F7BB099" w:rsidR="00101D84" w:rsidRDefault="00F12B2A" w:rsidP="00101D84">
            <w:pPr>
              <w:rPr>
                <w:i/>
                <w:szCs w:val="24"/>
                <w:lang w:val="fr-BE"/>
              </w:rPr>
            </w:pPr>
            <w:r>
              <w:rPr>
                <w:i/>
                <w:szCs w:val="24"/>
                <w:lang w:val="fr-BE"/>
              </w:rPr>
              <w:t>Le</w:t>
            </w:r>
            <w:r w:rsidR="00101D84" w:rsidRPr="003035B0">
              <w:rPr>
                <w:i/>
                <w:szCs w:val="24"/>
                <w:lang w:val="fr-BE"/>
              </w:rPr>
              <w:t xml:space="preserve"> site internet </w:t>
            </w:r>
            <w:r>
              <w:rPr>
                <w:szCs w:val="24"/>
                <w:lang w:val="fr-BE"/>
              </w:rPr>
              <w:t>de l’autorité de gestion</w:t>
            </w:r>
            <w:r w:rsidRPr="003035B0">
              <w:rPr>
                <w:i/>
                <w:szCs w:val="24"/>
                <w:lang w:val="fr-BE"/>
              </w:rPr>
              <w:t xml:space="preserve"> </w:t>
            </w:r>
            <w:r w:rsidR="00101D84" w:rsidRPr="003035B0">
              <w:rPr>
                <w:i/>
                <w:szCs w:val="24"/>
                <w:lang w:val="fr-BE"/>
              </w:rPr>
              <w:t>a été adapté pour accueillir les pages relativ</w:t>
            </w:r>
            <w:r w:rsidR="00101D84">
              <w:rPr>
                <w:i/>
                <w:szCs w:val="24"/>
                <w:lang w:val="fr-BE"/>
              </w:rPr>
              <w:t>es à la programmation 2021-2027</w:t>
            </w:r>
            <w:r w:rsidR="00101D84" w:rsidRPr="003035B0">
              <w:rPr>
                <w:i/>
                <w:szCs w:val="24"/>
                <w:lang w:val="fr-BE"/>
              </w:rPr>
              <w:t xml:space="preserve">. Toutes les informations utiles aux bénéficiaires s’y trouvent (Règlements AMIF, ISF, BMVI, CPR, Basic </w:t>
            </w:r>
            <w:proofErr w:type="spellStart"/>
            <w:r w:rsidR="00101D84" w:rsidRPr="003035B0">
              <w:rPr>
                <w:i/>
                <w:szCs w:val="24"/>
                <w:lang w:val="fr-BE"/>
              </w:rPr>
              <w:t>acts</w:t>
            </w:r>
            <w:proofErr w:type="spellEnd"/>
            <w:r w:rsidR="00101D84" w:rsidRPr="003035B0">
              <w:rPr>
                <w:i/>
                <w:szCs w:val="24"/>
                <w:lang w:val="fr-BE"/>
              </w:rPr>
              <w:t xml:space="preserve"> of the 2021-2027 Funds), les programmes nationaux (AMIF, ISF, BMVI)</w:t>
            </w:r>
            <w:r w:rsidR="00101D84" w:rsidRPr="00101D84">
              <w:rPr>
                <w:i/>
                <w:szCs w:val="24"/>
                <w:lang w:val="fr-BE"/>
              </w:rPr>
              <w:t>, des f</w:t>
            </w:r>
            <w:r w:rsidR="00101D84" w:rsidRPr="003035B0">
              <w:rPr>
                <w:i/>
                <w:szCs w:val="24"/>
                <w:lang w:val="fr-BE"/>
              </w:rPr>
              <w:t xml:space="preserve">iches explicatives concernant les indicateurs, le budget du projet, l’éligibilité des dépenses, le rapportage, les paiements, etc., le calendrier des appels à proposition (art. 49§2), la liste des projets sélectionnés (art. 49§3), les transmissions de données à la Commission (art. 42), les données et informations partagées avec le Comité de suivi (art. 38). </w:t>
            </w:r>
            <w:r w:rsidR="00101D84" w:rsidRPr="00101D84">
              <w:rPr>
                <w:i/>
                <w:szCs w:val="24"/>
                <w:lang w:val="fr-BE"/>
              </w:rPr>
              <w:t>A l’avenir, les évaluations faites par l’autorité de gestion (</w:t>
            </w:r>
            <w:proofErr w:type="spellStart"/>
            <w:r w:rsidR="00101D84" w:rsidRPr="00101D84">
              <w:rPr>
                <w:i/>
                <w:szCs w:val="24"/>
                <w:lang w:val="fr-BE"/>
              </w:rPr>
              <w:t>mid-term</w:t>
            </w:r>
            <w:proofErr w:type="spellEnd"/>
            <w:r w:rsidR="00101D84" w:rsidRPr="00101D84">
              <w:rPr>
                <w:i/>
                <w:szCs w:val="24"/>
                <w:lang w:val="fr-BE"/>
              </w:rPr>
              <w:t xml:space="preserve"> + ex-post) et le rapport de performance final (article 43$4) feront également l’objet d’une publication.</w:t>
            </w:r>
          </w:p>
          <w:p w14:paraId="3BCE739D" w14:textId="5DDFAC2C" w:rsidR="00762921" w:rsidRPr="00762921" w:rsidRDefault="00762921" w:rsidP="00345E16">
            <w:pPr>
              <w:pStyle w:val="Paragraphedeliste"/>
              <w:numPr>
                <w:ilvl w:val="0"/>
                <w:numId w:val="30"/>
              </w:numPr>
              <w:rPr>
                <w:i/>
                <w:szCs w:val="24"/>
                <w:lang w:val="fr-BE"/>
              </w:rPr>
            </w:pPr>
            <w:r w:rsidRPr="00762921">
              <w:rPr>
                <w:i/>
                <w:szCs w:val="24"/>
                <w:lang w:val="fr-BE"/>
              </w:rPr>
              <w:t>Portail unique</w:t>
            </w:r>
            <w:r>
              <w:rPr>
                <w:i/>
                <w:szCs w:val="24"/>
                <w:lang w:val="fr-BE"/>
              </w:rPr>
              <w:t xml:space="preserve"> (art. </w:t>
            </w:r>
            <w:r w:rsidRPr="00762921">
              <w:rPr>
                <w:i/>
                <w:szCs w:val="24"/>
                <w:lang w:val="fr-BE"/>
              </w:rPr>
              <w:t>49§1</w:t>
            </w:r>
            <w:r>
              <w:rPr>
                <w:i/>
                <w:szCs w:val="24"/>
                <w:lang w:val="fr-BE"/>
              </w:rPr>
              <w:t xml:space="preserve"> du </w:t>
            </w:r>
            <w:proofErr w:type="spellStart"/>
            <w:r w:rsidR="00345E16" w:rsidRPr="00345E16">
              <w:rPr>
                <w:i/>
                <w:szCs w:val="24"/>
                <w:lang w:val="fr-BE"/>
              </w:rPr>
              <w:t>Règlmenent</w:t>
            </w:r>
            <w:proofErr w:type="spellEnd"/>
            <w:r w:rsidR="00345E16" w:rsidRPr="00345E16">
              <w:rPr>
                <w:i/>
                <w:szCs w:val="24"/>
                <w:lang w:val="fr-BE"/>
              </w:rPr>
              <w:t xml:space="preserve"> (UE) 2021/1060</w:t>
            </w:r>
            <w:r w:rsidR="00345E16">
              <w:rPr>
                <w:i/>
                <w:szCs w:val="24"/>
                <w:lang w:val="fr-BE"/>
              </w:rPr>
              <w:t>)</w:t>
            </w:r>
          </w:p>
          <w:p w14:paraId="6732AB35" w14:textId="761B256E" w:rsidR="00762921" w:rsidRDefault="00345E16" w:rsidP="00762921">
            <w:pPr>
              <w:rPr>
                <w:i/>
                <w:szCs w:val="24"/>
                <w:lang w:val="fr-BE"/>
              </w:rPr>
            </w:pPr>
            <w:r>
              <w:rPr>
                <w:i/>
                <w:szCs w:val="24"/>
                <w:lang w:val="fr-BE"/>
              </w:rPr>
              <w:t xml:space="preserve">Un </w:t>
            </w:r>
            <w:r w:rsidR="00762921" w:rsidRPr="00762921">
              <w:rPr>
                <w:i/>
                <w:szCs w:val="24"/>
                <w:lang w:val="fr-BE"/>
              </w:rPr>
              <w:t>portail unique permettant d’accéder à tous les programmes</w:t>
            </w:r>
            <w:r>
              <w:rPr>
                <w:i/>
                <w:szCs w:val="24"/>
                <w:lang w:val="fr-BE"/>
              </w:rPr>
              <w:t xml:space="preserve"> a été mis en place</w:t>
            </w:r>
            <w:r w:rsidR="00A8141C">
              <w:rPr>
                <w:i/>
                <w:szCs w:val="24"/>
                <w:lang w:val="fr-BE"/>
              </w:rPr>
              <w:t xml:space="preserve"> </w:t>
            </w:r>
            <w:r w:rsidR="00A8141C" w:rsidRPr="00762921">
              <w:rPr>
                <w:i/>
                <w:szCs w:val="24"/>
                <w:lang w:val="fr-BE"/>
              </w:rPr>
              <w:t>par le SP Wallonie</w:t>
            </w:r>
            <w:r w:rsidR="00762921" w:rsidRPr="00762921">
              <w:rPr>
                <w:i/>
                <w:szCs w:val="24"/>
                <w:lang w:val="fr-BE"/>
              </w:rPr>
              <w:t>. Le site «</w:t>
            </w:r>
            <w:r w:rsidR="00A8141C">
              <w:rPr>
                <w:i/>
                <w:szCs w:val="24"/>
                <w:lang w:val="fr-BE"/>
              </w:rPr>
              <w:t> </w:t>
            </w:r>
            <w:r w:rsidR="00762921" w:rsidRPr="00762921">
              <w:rPr>
                <w:i/>
                <w:szCs w:val="24"/>
                <w:lang w:val="fr-BE"/>
              </w:rPr>
              <w:t>Europe in Belgium</w:t>
            </w:r>
            <w:r w:rsidR="00A8141C">
              <w:rPr>
                <w:i/>
                <w:szCs w:val="24"/>
                <w:lang w:val="fr-BE"/>
              </w:rPr>
              <w:t> </w:t>
            </w:r>
            <w:r w:rsidR="00762921" w:rsidRPr="00762921">
              <w:rPr>
                <w:i/>
                <w:szCs w:val="24"/>
                <w:lang w:val="fr-BE"/>
              </w:rPr>
              <w:t xml:space="preserve">» a été adapté pour répondre aux exigences de la nouvelle programmation. </w:t>
            </w:r>
          </w:p>
          <w:p w14:paraId="0A77DE7B" w14:textId="2AA11372" w:rsidR="00A8141C" w:rsidRDefault="00A8141C" w:rsidP="00A8141C">
            <w:pPr>
              <w:pStyle w:val="Paragraphedeliste"/>
              <w:numPr>
                <w:ilvl w:val="0"/>
                <w:numId w:val="30"/>
              </w:numPr>
              <w:rPr>
                <w:i/>
                <w:szCs w:val="24"/>
                <w:lang w:val="fr-BE"/>
              </w:rPr>
            </w:pPr>
            <w:r w:rsidRPr="00A8141C">
              <w:rPr>
                <w:i/>
                <w:szCs w:val="24"/>
                <w:lang w:val="fr-BE"/>
              </w:rPr>
              <w:t xml:space="preserve">Communication </w:t>
            </w:r>
            <w:proofErr w:type="spellStart"/>
            <w:r w:rsidRPr="00A8141C">
              <w:rPr>
                <w:i/>
                <w:szCs w:val="24"/>
                <w:lang w:val="fr-BE"/>
              </w:rPr>
              <w:t>Officer</w:t>
            </w:r>
            <w:proofErr w:type="spellEnd"/>
            <w:r>
              <w:rPr>
                <w:i/>
                <w:szCs w:val="24"/>
                <w:lang w:val="fr-BE"/>
              </w:rPr>
              <w:t xml:space="preserve"> (art. 48 du </w:t>
            </w:r>
            <w:proofErr w:type="spellStart"/>
            <w:r w:rsidRPr="00345E16">
              <w:rPr>
                <w:i/>
                <w:szCs w:val="24"/>
                <w:lang w:val="fr-BE"/>
              </w:rPr>
              <w:t>Règlmenent</w:t>
            </w:r>
            <w:proofErr w:type="spellEnd"/>
            <w:r w:rsidRPr="00345E16">
              <w:rPr>
                <w:i/>
                <w:szCs w:val="24"/>
                <w:lang w:val="fr-BE"/>
              </w:rPr>
              <w:t xml:space="preserve"> (UE) 2021/1060</w:t>
            </w:r>
            <w:r>
              <w:rPr>
                <w:i/>
                <w:szCs w:val="24"/>
                <w:lang w:val="fr-BE"/>
              </w:rPr>
              <w:t>)</w:t>
            </w:r>
          </w:p>
          <w:p w14:paraId="2A2638A6" w14:textId="231CBF44" w:rsidR="009474F2" w:rsidRPr="00101D84" w:rsidRDefault="00465E5F" w:rsidP="00D62E5A">
            <w:pPr>
              <w:rPr>
                <w:lang w:val="fr-BE"/>
              </w:rPr>
            </w:pPr>
            <w:r>
              <w:rPr>
                <w:i/>
                <w:szCs w:val="24"/>
                <w:lang w:val="fr-BE"/>
              </w:rPr>
              <w:t>L</w:t>
            </w:r>
            <w:r w:rsidRPr="00465E5F">
              <w:rPr>
                <w:i/>
                <w:szCs w:val="24"/>
                <w:lang w:val="fr-BE"/>
              </w:rPr>
              <w:t>’autorité de gestion a désigné en son sein un responsable de communication pour les trois programmes</w:t>
            </w:r>
            <w:r>
              <w:rPr>
                <w:i/>
                <w:szCs w:val="24"/>
                <w:lang w:val="fr-BE"/>
              </w:rPr>
              <w:t xml:space="preserve"> (AMIF, ISF et BMVI)</w:t>
            </w:r>
            <w:r w:rsidRPr="00465E5F">
              <w:rPr>
                <w:i/>
                <w:szCs w:val="24"/>
                <w:lang w:val="fr-BE"/>
              </w:rPr>
              <w:t xml:space="preserve">. Il participe aux échanges d’informations avec les autres </w:t>
            </w:r>
            <w:r w:rsidRPr="00465E5F">
              <w:rPr>
                <w:i/>
                <w:szCs w:val="24"/>
                <w:lang w:val="fr-BE"/>
              </w:rPr>
              <w:lastRenderedPageBreak/>
              <w:t>autorités de gestion, le coordinateur national en matière de communication et la Commission européenne en participant notamment aux « country team meetings » (deux fois par an</w:t>
            </w:r>
            <w:r w:rsidR="00B97059">
              <w:rPr>
                <w:i/>
                <w:szCs w:val="24"/>
                <w:lang w:val="fr-BE"/>
              </w:rPr>
              <w:t>). Il</w:t>
            </w:r>
            <w:r w:rsidR="00B97059" w:rsidRPr="00B97059">
              <w:rPr>
                <w:i/>
                <w:szCs w:val="24"/>
                <w:lang w:val="fr-BE"/>
              </w:rPr>
              <w:t xml:space="preserve"> informe chaque fois que nécessaire les bénéficiaires quant à leurs obliga</w:t>
            </w:r>
            <w:r w:rsidR="00B97059">
              <w:rPr>
                <w:i/>
                <w:szCs w:val="24"/>
                <w:lang w:val="fr-BE"/>
              </w:rPr>
              <w:t>tions de publicité</w:t>
            </w:r>
            <w:r w:rsidR="00B97059" w:rsidRPr="00B97059">
              <w:rPr>
                <w:i/>
                <w:szCs w:val="24"/>
                <w:lang w:val="fr-BE"/>
              </w:rPr>
              <w:t>. De nombreuses réunions teams ont déjà été organisées à cet égard (&gt;20). En outre, une fiche explicative a été publiée sur le site internet de l’autorité d</w:t>
            </w:r>
            <w:r w:rsidR="00B97059">
              <w:rPr>
                <w:i/>
                <w:szCs w:val="24"/>
                <w:lang w:val="fr-BE"/>
              </w:rPr>
              <w:t>e gestion « </w:t>
            </w:r>
            <w:r w:rsidR="00B97059" w:rsidRPr="00B97059">
              <w:rPr>
                <w:i/>
                <w:szCs w:val="24"/>
                <w:lang w:val="fr-BE"/>
              </w:rPr>
              <w:t>Obligations de publicité</w:t>
            </w:r>
            <w:r w:rsidR="00D62E5A">
              <w:rPr>
                <w:i/>
                <w:szCs w:val="24"/>
                <w:lang w:val="fr-BE"/>
              </w:rPr>
              <w:t> </w:t>
            </w:r>
            <w:r w:rsidR="00B97059" w:rsidRPr="00B97059">
              <w:rPr>
                <w:i/>
                <w:szCs w:val="24"/>
                <w:lang w:val="fr-BE"/>
              </w:rPr>
              <w:t xml:space="preserve">». Les outils préparés par la Commission pour aider les bénéficiaires à cet égard sont également mis en évidence sur le site internet ( EU Commission Logo </w:t>
            </w:r>
            <w:proofErr w:type="spellStart"/>
            <w:r w:rsidR="00B97059" w:rsidRPr="00B97059">
              <w:rPr>
                <w:i/>
                <w:szCs w:val="24"/>
                <w:lang w:val="fr-BE"/>
              </w:rPr>
              <w:t>Download</w:t>
            </w:r>
            <w:proofErr w:type="spellEnd"/>
            <w:r w:rsidR="00B97059" w:rsidRPr="00B97059">
              <w:rPr>
                <w:i/>
                <w:szCs w:val="24"/>
                <w:lang w:val="fr-BE"/>
              </w:rPr>
              <w:t xml:space="preserve"> Center + Générateur d'affiches).</w:t>
            </w:r>
            <w:r w:rsidR="00D62E5A">
              <w:rPr>
                <w:i/>
                <w:szCs w:val="24"/>
                <w:lang w:val="fr-BE"/>
              </w:rPr>
              <w:t xml:space="preserve"> </w:t>
            </w:r>
            <w:r w:rsidR="00F025FD">
              <w:rPr>
                <w:i/>
                <w:szCs w:val="24"/>
                <w:lang w:val="fr-BE"/>
              </w:rPr>
              <w:t>Des</w:t>
            </w:r>
            <w:r w:rsidR="00B97059" w:rsidRPr="00B97059">
              <w:rPr>
                <w:i/>
                <w:szCs w:val="24"/>
                <w:lang w:val="fr-BE"/>
              </w:rPr>
              <w:t xml:space="preserve"> contrôle</w:t>
            </w:r>
            <w:r w:rsidR="00F025FD">
              <w:rPr>
                <w:i/>
                <w:szCs w:val="24"/>
                <w:lang w:val="fr-BE"/>
              </w:rPr>
              <w:t>s</w:t>
            </w:r>
            <w:r w:rsidR="00B97059" w:rsidRPr="00B97059">
              <w:rPr>
                <w:i/>
                <w:szCs w:val="24"/>
                <w:lang w:val="fr-BE"/>
              </w:rPr>
              <w:t xml:space="preserve"> des obligations de publicité des bénéficiaires ont déjà eu lieu dans le cadre de leur rapportage intermédiaire (tous les six mois). </w:t>
            </w:r>
          </w:p>
          <w:p w14:paraId="198BE8C5" w14:textId="5B4EAA8E" w:rsidR="009474F2" w:rsidRPr="00101D84" w:rsidRDefault="009474F2" w:rsidP="009474F2">
            <w:pPr>
              <w:pStyle w:val="Personnequisigne"/>
              <w:rPr>
                <w:lang w:val="fr-BE"/>
              </w:rPr>
            </w:pPr>
          </w:p>
        </w:tc>
      </w:tr>
    </w:tbl>
    <w:p w14:paraId="335D623B" w14:textId="6FBB2394" w:rsidR="0087657F" w:rsidRDefault="00C71B80" w:rsidP="0087657F">
      <w:pPr>
        <w:pStyle w:val="Institutionquisigne"/>
        <w:spacing w:before="240" w:after="120"/>
        <w:rPr>
          <w:i w:val="0"/>
          <w:noProof/>
          <w:sz w:val="22"/>
        </w:rPr>
      </w:pPr>
      <w:r>
        <w:rPr>
          <w:i w:val="0"/>
          <w:noProof/>
          <w:sz w:val="22"/>
        </w:rPr>
        <w:lastRenderedPageBreak/>
        <w:t>P</w:t>
      </w:r>
      <w:r w:rsidR="0087657F" w:rsidRPr="005C06A4">
        <w:rPr>
          <w:i w:val="0"/>
          <w:noProof/>
          <w:sz w:val="22"/>
        </w:rPr>
        <w:t xml:space="preserve">rovide a link to </w:t>
      </w:r>
      <w:r w:rsidR="0087657F" w:rsidRPr="00D42974">
        <w:rPr>
          <w:i w:val="0"/>
          <w:noProof/>
          <w:sz w:val="22"/>
        </w:rPr>
        <w:t>the website portal referred to in Article 46</w:t>
      </w:r>
      <w:r w:rsidR="007D0D22">
        <w:rPr>
          <w:i w:val="0"/>
          <w:noProof/>
          <w:sz w:val="22"/>
        </w:rPr>
        <w:t>,</w:t>
      </w:r>
      <w:r w:rsidR="0087657F" w:rsidRPr="00D42974">
        <w:rPr>
          <w:i w:val="0"/>
          <w:noProof/>
          <w:sz w:val="22"/>
        </w:rPr>
        <w:t xml:space="preserve"> </w:t>
      </w:r>
      <w:r w:rsidR="007D0D22" w:rsidRPr="00D42974">
        <w:rPr>
          <w:i w:val="0"/>
          <w:noProof/>
          <w:sz w:val="22"/>
        </w:rPr>
        <w:t>point (b)</w:t>
      </w:r>
      <w:r w:rsidR="007D0D22">
        <w:rPr>
          <w:i w:val="0"/>
          <w:noProof/>
          <w:sz w:val="22"/>
        </w:rPr>
        <w:t>,</w:t>
      </w:r>
      <w:r w:rsidR="007D0D22" w:rsidRPr="00D42974">
        <w:rPr>
          <w:i w:val="0"/>
          <w:noProof/>
          <w:sz w:val="22"/>
        </w:rPr>
        <w:t xml:space="preserve"> </w:t>
      </w:r>
      <w:r w:rsidR="0087657F">
        <w:rPr>
          <w:i w:val="0"/>
          <w:noProof/>
          <w:sz w:val="22"/>
        </w:rPr>
        <w:t xml:space="preserve">of </w:t>
      </w:r>
      <w:r w:rsidR="00D70BC5">
        <w:rPr>
          <w:i w:val="0"/>
          <w:noProof/>
          <w:sz w:val="22"/>
        </w:rPr>
        <w:t xml:space="preserve">Regulation </w:t>
      </w:r>
      <w:r w:rsidR="00D70BC5" w:rsidRPr="00D70BC5">
        <w:rPr>
          <w:i w:val="0"/>
          <w:noProof/>
          <w:sz w:val="22"/>
        </w:rPr>
        <w:t xml:space="preserve">(EU) 2021/1060 </w:t>
      </w:r>
      <w:r w:rsidR="0087657F">
        <w:rPr>
          <w:i w:val="0"/>
          <w:noProof/>
          <w:sz w:val="22"/>
        </w:rPr>
        <w:t>and, if different,</w:t>
      </w:r>
      <w:r w:rsidR="0087657F" w:rsidRPr="00D42974">
        <w:rPr>
          <w:i w:val="0"/>
          <w:noProof/>
          <w:sz w:val="22"/>
        </w:rPr>
        <w:t xml:space="preserve"> </w:t>
      </w:r>
      <w:r w:rsidR="0087657F">
        <w:rPr>
          <w:i w:val="0"/>
          <w:noProof/>
          <w:sz w:val="22"/>
        </w:rPr>
        <w:t>to</w:t>
      </w:r>
      <w:r w:rsidR="0087657F" w:rsidRPr="00D42974">
        <w:rPr>
          <w:i w:val="0"/>
          <w:noProof/>
          <w:sz w:val="22"/>
        </w:rPr>
        <w:t xml:space="preserve"> the website referred to in Article 49(1)</w:t>
      </w:r>
      <w:r w:rsidR="007D0D22">
        <w:rPr>
          <w:i w:val="0"/>
          <w:noProof/>
          <w:sz w:val="22"/>
        </w:rPr>
        <w:t xml:space="preserve"> of that Regulation</w:t>
      </w:r>
      <w:r w:rsidR="0087657F" w:rsidRPr="005C06A4">
        <w:rPr>
          <w:i w:val="0"/>
          <w:noProof/>
          <w:sz w:val="22"/>
        </w:rPr>
        <w:t>.</w:t>
      </w:r>
    </w:p>
    <w:tbl>
      <w:tblPr>
        <w:tblStyle w:val="Grilledutableau"/>
        <w:tblW w:w="0" w:type="auto"/>
        <w:tblLook w:val="04A0" w:firstRow="1" w:lastRow="0" w:firstColumn="1" w:lastColumn="0" w:noHBand="0" w:noVBand="1"/>
      </w:tblPr>
      <w:tblGrid>
        <w:gridCol w:w="9063"/>
      </w:tblGrid>
      <w:tr w:rsidR="0087657F" w:rsidRPr="00BD2AB1" w14:paraId="0E7487E6" w14:textId="77777777" w:rsidTr="00E45665">
        <w:tc>
          <w:tcPr>
            <w:tcW w:w="9289" w:type="dxa"/>
          </w:tcPr>
          <w:p w14:paraId="3A0E8C7A" w14:textId="77777777" w:rsidR="003F00E6" w:rsidRDefault="00792913" w:rsidP="003F00E6">
            <w:pPr>
              <w:pStyle w:val="Institutionquisigne"/>
            </w:pPr>
            <w:hyperlink r:id="rId18" w:history="1">
              <w:r w:rsidR="00262589" w:rsidRPr="00262589">
                <w:rPr>
                  <w:rStyle w:val="Lienhypertexte"/>
                </w:rPr>
                <w:t>https://amif-isf.be/</w:t>
              </w:r>
            </w:hyperlink>
            <w:r w:rsidR="00262589" w:rsidRPr="00262589">
              <w:t xml:space="preserve"> </w:t>
            </w:r>
            <w:r w:rsidR="00262589">
              <w:t>website of the Managing Authority</w:t>
            </w:r>
          </w:p>
          <w:p w14:paraId="3188836A" w14:textId="77777777" w:rsidR="00262589" w:rsidRDefault="00792913" w:rsidP="00262589">
            <w:pPr>
              <w:pStyle w:val="Personnequisigne"/>
              <w:rPr>
                <w:lang w:val="fr-BE"/>
              </w:rPr>
            </w:pPr>
            <w:hyperlink r:id="rId19" w:history="1">
              <w:r w:rsidR="00262589" w:rsidRPr="00262589">
                <w:rPr>
                  <w:rStyle w:val="Lienhypertexte"/>
                  <w:lang w:val="fr-BE"/>
                </w:rPr>
                <w:t>https://www.europeinbelgium.be/</w:t>
              </w:r>
            </w:hyperlink>
            <w:r w:rsidR="00262589" w:rsidRPr="00262589">
              <w:rPr>
                <w:lang w:val="fr-BE"/>
              </w:rPr>
              <w:t xml:space="preserve"> unique portal</w:t>
            </w:r>
          </w:p>
          <w:p w14:paraId="208E4EDF" w14:textId="66965D5C" w:rsidR="00F025FD" w:rsidRPr="00F025FD" w:rsidRDefault="00F025FD" w:rsidP="00F025FD">
            <w:pPr>
              <w:pStyle w:val="Institutionquisigne"/>
              <w:rPr>
                <w:lang w:val="fr-BE"/>
              </w:rPr>
            </w:pPr>
          </w:p>
        </w:tc>
      </w:tr>
    </w:tbl>
    <w:p w14:paraId="278E2F97" w14:textId="38C89564" w:rsidR="000133CF" w:rsidRPr="000133CF" w:rsidRDefault="0005722E" w:rsidP="0005722E">
      <w:pPr>
        <w:pStyle w:val="ManualHeading1"/>
        <w:rPr>
          <w:noProof/>
        </w:rPr>
      </w:pPr>
      <w:r w:rsidRPr="0005722E">
        <w:t>5.</w:t>
      </w:r>
      <w:r w:rsidRPr="0005722E">
        <w:tab/>
      </w:r>
      <w:r w:rsidR="0087657F" w:rsidRPr="000133CF">
        <w:rPr>
          <w:noProof/>
        </w:rPr>
        <w:t xml:space="preserve">Enabling </w:t>
      </w:r>
      <w:r w:rsidR="006C5C3B">
        <w:rPr>
          <w:noProof/>
        </w:rPr>
        <w:t>c</w:t>
      </w:r>
      <w:r w:rsidR="0087657F" w:rsidRPr="000133CF">
        <w:rPr>
          <w:noProof/>
        </w:rPr>
        <w:t xml:space="preserve">onditions and </w:t>
      </w:r>
      <w:r w:rsidR="006C5C3B">
        <w:rPr>
          <w:noProof/>
        </w:rPr>
        <w:t>h</w:t>
      </w:r>
      <w:r w:rsidR="0087657F" w:rsidRPr="000133CF">
        <w:rPr>
          <w:noProof/>
        </w:rPr>
        <w:t xml:space="preserve">orizontal </w:t>
      </w:r>
      <w:r w:rsidR="006C5C3B">
        <w:rPr>
          <w:noProof/>
        </w:rPr>
        <w:t>p</w:t>
      </w:r>
      <w:r w:rsidR="0087657F" w:rsidRPr="000133CF">
        <w:rPr>
          <w:noProof/>
        </w:rPr>
        <w:t xml:space="preserve">rinciples </w:t>
      </w:r>
    </w:p>
    <w:p w14:paraId="14C46DB4" w14:textId="609B16DA" w:rsidR="0087657F" w:rsidRPr="00B028E6" w:rsidRDefault="0005722E" w:rsidP="0005722E">
      <w:pPr>
        <w:pStyle w:val="ManualHeading2"/>
        <w:rPr>
          <w:noProof/>
        </w:rPr>
      </w:pPr>
      <w:r w:rsidRPr="0005722E">
        <w:t>5.1.</w:t>
      </w:r>
      <w:r w:rsidRPr="0005722E">
        <w:tab/>
      </w:r>
      <w:r w:rsidR="0087657F">
        <w:rPr>
          <w:noProof/>
        </w:rPr>
        <w:t xml:space="preserve">Enabling </w:t>
      </w:r>
      <w:r w:rsidR="003E338B">
        <w:rPr>
          <w:noProof/>
        </w:rPr>
        <w:t>c</w:t>
      </w:r>
      <w:r w:rsidR="0087657F">
        <w:rPr>
          <w:noProof/>
        </w:rPr>
        <w:t>onditions</w:t>
      </w:r>
      <w:r w:rsidR="0087657F" w:rsidRPr="00450B1B">
        <w:rPr>
          <w:noProof/>
        </w:rPr>
        <w:t xml:space="preserve"> – </w:t>
      </w:r>
      <w:r w:rsidR="0087657F" w:rsidRPr="0099745F">
        <w:rPr>
          <w:noProof/>
        </w:rPr>
        <w:t>Article 35(2)</w:t>
      </w:r>
      <w:r w:rsidR="003E338B">
        <w:rPr>
          <w:noProof/>
        </w:rPr>
        <w:t>,</w:t>
      </w:r>
      <w:r w:rsidR="0087657F" w:rsidRPr="0099745F">
        <w:rPr>
          <w:noProof/>
        </w:rPr>
        <w:t xml:space="preserve"> point </w:t>
      </w:r>
      <w:r w:rsidR="0087657F">
        <w:rPr>
          <w:noProof/>
        </w:rPr>
        <w:t>(</w:t>
      </w:r>
      <w:r w:rsidR="0087657F" w:rsidRPr="0099745F">
        <w:rPr>
          <w:noProof/>
        </w:rPr>
        <w:t>f</w:t>
      </w:r>
      <w:r w:rsidR="0087657F">
        <w:rPr>
          <w:noProof/>
        </w:rPr>
        <w:t>)</w:t>
      </w:r>
      <w:r w:rsidR="003E338B">
        <w:rPr>
          <w:noProof/>
        </w:rPr>
        <w:t>,</w:t>
      </w:r>
      <w:r w:rsidR="0087657F" w:rsidRPr="0099745F">
        <w:rPr>
          <w:noProof/>
        </w:rPr>
        <w:t xml:space="preserve"> of Regulation (EU) 2021/1147</w:t>
      </w:r>
    </w:p>
    <w:p w14:paraId="4EB14E8F" w14:textId="0CEE9E07" w:rsidR="0087657F" w:rsidRPr="00450B1B" w:rsidRDefault="00053829" w:rsidP="0087657F">
      <w:pPr>
        <w:pStyle w:val="Titrearticle"/>
        <w:spacing w:before="240"/>
        <w:jc w:val="both"/>
        <w:rPr>
          <w:i w:val="0"/>
          <w:noProof/>
          <w:sz w:val="22"/>
        </w:rPr>
      </w:pPr>
      <w:r>
        <w:rPr>
          <w:i w:val="0"/>
          <w:noProof/>
          <w:sz w:val="22"/>
        </w:rPr>
        <w:t>D</w:t>
      </w:r>
      <w:r w:rsidR="00591AB0" w:rsidRPr="007F1A68">
        <w:rPr>
          <w:i w:val="0"/>
          <w:noProof/>
          <w:sz w:val="22"/>
        </w:rPr>
        <w:t>escribe how it was ensured that the applicable enabling conditions in Annex III of Regulation (EU) 2021/1060 were fulfilled and applied throughout the accounting year, in particular as regards complying with the Charter of Fundamental Rights</w:t>
      </w:r>
      <w:r>
        <w:rPr>
          <w:i w:val="0"/>
          <w:noProof/>
          <w:sz w:val="22"/>
        </w:rPr>
        <w:t xml:space="preserve"> of the European Union</w:t>
      </w:r>
      <w:r w:rsidR="00591AB0" w:rsidRPr="007F1A68">
        <w:rPr>
          <w:i w:val="0"/>
          <w:noProof/>
          <w:sz w:val="22"/>
        </w:rPr>
        <w:t>.</w:t>
      </w:r>
      <w:r w:rsidR="006968E5">
        <w:rPr>
          <w:i w:val="0"/>
          <w:noProof/>
          <w:sz w:val="22"/>
        </w:rPr>
        <w:t xml:space="preserve"> </w:t>
      </w:r>
      <w:r w:rsidR="0087657F">
        <w:rPr>
          <w:i w:val="0"/>
          <w:noProof/>
          <w:sz w:val="22"/>
        </w:rPr>
        <w:t xml:space="preserve">If relevant, describe </w:t>
      </w:r>
      <w:r w:rsidR="0087657F" w:rsidRPr="00FA2939">
        <w:rPr>
          <w:i w:val="0"/>
          <w:noProof/>
          <w:sz w:val="22"/>
        </w:rPr>
        <w:t xml:space="preserve">any </w:t>
      </w:r>
      <w:r w:rsidR="0001528B">
        <w:rPr>
          <w:i w:val="0"/>
          <w:noProof/>
          <w:sz w:val="22"/>
        </w:rPr>
        <w:t>change</w:t>
      </w:r>
      <w:r w:rsidR="0001528B" w:rsidRPr="00FA2939">
        <w:rPr>
          <w:i w:val="0"/>
          <w:noProof/>
          <w:sz w:val="22"/>
        </w:rPr>
        <w:t xml:space="preserve"> </w:t>
      </w:r>
      <w:r w:rsidR="004630E2">
        <w:rPr>
          <w:i w:val="0"/>
          <w:noProof/>
          <w:sz w:val="22"/>
        </w:rPr>
        <w:t xml:space="preserve">that had an impact on how the </w:t>
      </w:r>
      <w:r w:rsidR="0087657F" w:rsidRPr="00FA2939">
        <w:rPr>
          <w:i w:val="0"/>
          <w:noProof/>
          <w:sz w:val="22"/>
        </w:rPr>
        <w:t>enabling conditions</w:t>
      </w:r>
      <w:r w:rsidR="004630E2">
        <w:rPr>
          <w:i w:val="0"/>
          <w:noProof/>
          <w:sz w:val="22"/>
        </w:rPr>
        <w:t xml:space="preserve"> were fulfilled</w:t>
      </w:r>
      <w:r w:rsidR="0087657F">
        <w:rPr>
          <w:i w:val="0"/>
          <w:noProof/>
          <w:sz w:val="22"/>
        </w:rPr>
        <w:t xml:space="preserve">, as </w:t>
      </w:r>
      <w:r w:rsidR="002F1935">
        <w:rPr>
          <w:i w:val="0"/>
          <w:noProof/>
          <w:sz w:val="22"/>
        </w:rPr>
        <w:t xml:space="preserve">provided for in </w:t>
      </w:r>
      <w:r w:rsidR="0087657F">
        <w:rPr>
          <w:i w:val="0"/>
          <w:noProof/>
          <w:sz w:val="22"/>
        </w:rPr>
        <w:t xml:space="preserve">Article 15(6) of Regulation (EU) 2021/1060. </w:t>
      </w:r>
    </w:p>
    <w:tbl>
      <w:tblPr>
        <w:tblStyle w:val="Grilledutableau"/>
        <w:tblW w:w="0" w:type="auto"/>
        <w:tblLook w:val="04A0" w:firstRow="1" w:lastRow="0" w:firstColumn="1" w:lastColumn="0" w:noHBand="0" w:noVBand="1"/>
      </w:tblPr>
      <w:tblGrid>
        <w:gridCol w:w="9063"/>
      </w:tblGrid>
      <w:tr w:rsidR="0087657F" w:rsidRPr="004465EB" w14:paraId="6E23497E" w14:textId="77777777" w:rsidTr="00E45665">
        <w:tc>
          <w:tcPr>
            <w:tcW w:w="9289" w:type="dxa"/>
          </w:tcPr>
          <w:p w14:paraId="0D403BEE" w14:textId="2ACD47C5" w:rsidR="006A548E" w:rsidRPr="006A548E" w:rsidRDefault="006A548E" w:rsidP="006A548E">
            <w:pPr>
              <w:pStyle w:val="Personnequisigne"/>
              <w:rPr>
                <w:noProof/>
              </w:rPr>
            </w:pPr>
            <w:r w:rsidRPr="006A548E">
              <w:rPr>
                <w:noProof/>
              </w:rPr>
              <w:t>1. Arrangements to ensure compliance of the programmes supported by the Funds and their implementation with the relevant provisions of the Charter</w:t>
            </w:r>
            <w:r>
              <w:t xml:space="preserve"> and the </w:t>
            </w:r>
            <w:r w:rsidRPr="006A548E">
              <w:rPr>
                <w:noProof/>
              </w:rPr>
              <w:t>UNCRPD</w:t>
            </w:r>
            <w:r>
              <w:rPr>
                <w:noProof/>
              </w:rPr>
              <w:t>:</w:t>
            </w:r>
          </w:p>
          <w:p w14:paraId="7447D241" w14:textId="77777777" w:rsidR="006A548E" w:rsidRPr="006A548E" w:rsidRDefault="006A548E" w:rsidP="006A548E">
            <w:pPr>
              <w:pStyle w:val="Personnequisigne"/>
              <w:numPr>
                <w:ilvl w:val="0"/>
                <w:numId w:val="27"/>
              </w:numPr>
              <w:rPr>
                <w:noProof/>
              </w:rPr>
            </w:pPr>
            <w:r w:rsidRPr="006A548E">
              <w:rPr>
                <w:noProof/>
              </w:rPr>
              <w:t>Sensibilisation by the MA while launching the calls (coaching sessions).</w:t>
            </w:r>
          </w:p>
          <w:p w14:paraId="0259FBAE" w14:textId="759C146D" w:rsidR="006A548E" w:rsidRPr="006A548E" w:rsidRDefault="006A548E" w:rsidP="006A548E">
            <w:pPr>
              <w:pStyle w:val="Personnequisigne"/>
              <w:numPr>
                <w:ilvl w:val="0"/>
                <w:numId w:val="27"/>
              </w:numPr>
              <w:rPr>
                <w:noProof/>
              </w:rPr>
            </w:pPr>
            <w:r w:rsidRPr="006A548E">
              <w:rPr>
                <w:noProof/>
              </w:rPr>
              <w:t>Commitment of the beneficiaries to respect the Charter</w:t>
            </w:r>
            <w:r>
              <w:t xml:space="preserve"> / </w:t>
            </w:r>
            <w:r w:rsidRPr="006A548E">
              <w:rPr>
                <w:noProof/>
              </w:rPr>
              <w:t>UNCRPD in the project proposal (legal declaration).</w:t>
            </w:r>
          </w:p>
          <w:p w14:paraId="5119039F" w14:textId="48A2307F" w:rsidR="006A548E" w:rsidRPr="006A548E" w:rsidRDefault="006A548E" w:rsidP="006A548E">
            <w:pPr>
              <w:pStyle w:val="Personnequisigne"/>
              <w:numPr>
                <w:ilvl w:val="0"/>
                <w:numId w:val="27"/>
              </w:numPr>
              <w:rPr>
                <w:noProof/>
              </w:rPr>
            </w:pPr>
            <w:r w:rsidRPr="006A548E">
              <w:rPr>
                <w:noProof/>
              </w:rPr>
              <w:t xml:space="preserve">Obligation to respect the Charter </w:t>
            </w:r>
            <w:r>
              <w:rPr>
                <w:noProof/>
              </w:rPr>
              <w:t xml:space="preserve">/ </w:t>
            </w:r>
            <w:r w:rsidRPr="006A548E">
              <w:rPr>
                <w:noProof/>
              </w:rPr>
              <w:t>UNCRPD registered in the ministerial decree (art.7).</w:t>
            </w:r>
          </w:p>
          <w:p w14:paraId="47ACDA8F" w14:textId="77777777" w:rsidR="006A548E" w:rsidRPr="006A548E" w:rsidRDefault="006A548E" w:rsidP="006A548E">
            <w:pPr>
              <w:pStyle w:val="Personnequisigne"/>
              <w:numPr>
                <w:ilvl w:val="0"/>
                <w:numId w:val="27"/>
              </w:numPr>
              <w:rPr>
                <w:noProof/>
              </w:rPr>
            </w:pPr>
            <w:r w:rsidRPr="006A548E">
              <w:rPr>
                <w:noProof/>
              </w:rPr>
              <w:t>Reporting by the beneficiary in the intermediary and final reports (questions).</w:t>
            </w:r>
          </w:p>
          <w:p w14:paraId="4D496ABA" w14:textId="77777777" w:rsidR="006A548E" w:rsidRPr="006A548E" w:rsidRDefault="006A548E" w:rsidP="006A548E">
            <w:pPr>
              <w:pStyle w:val="Personnequisigne"/>
              <w:numPr>
                <w:ilvl w:val="0"/>
                <w:numId w:val="27"/>
              </w:numPr>
              <w:rPr>
                <w:noProof/>
              </w:rPr>
            </w:pPr>
            <w:r w:rsidRPr="006A548E">
              <w:rPr>
                <w:noProof/>
              </w:rPr>
              <w:t>Control by the MA during the operational and narrative controls (questions).</w:t>
            </w:r>
          </w:p>
          <w:p w14:paraId="1490460D" w14:textId="77777777" w:rsidR="006A548E" w:rsidRPr="006A548E" w:rsidRDefault="006A548E" w:rsidP="006A548E">
            <w:pPr>
              <w:pStyle w:val="Personnequisigne"/>
              <w:numPr>
                <w:ilvl w:val="0"/>
                <w:numId w:val="27"/>
              </w:numPr>
              <w:rPr>
                <w:noProof/>
              </w:rPr>
            </w:pPr>
            <w:r w:rsidRPr="006A548E">
              <w:rPr>
                <w:noProof/>
              </w:rPr>
              <w:t xml:space="preserve">Nomination of a Fundamental Rights « expert » within the MA. </w:t>
            </w:r>
          </w:p>
          <w:p w14:paraId="7DDC2A73" w14:textId="77777777" w:rsidR="006A548E" w:rsidRPr="006A548E" w:rsidRDefault="006A548E" w:rsidP="006A548E">
            <w:pPr>
              <w:pStyle w:val="Personnequisigne"/>
              <w:numPr>
                <w:ilvl w:val="0"/>
                <w:numId w:val="27"/>
              </w:numPr>
              <w:rPr>
                <w:noProof/>
              </w:rPr>
            </w:pPr>
            <w:r w:rsidRPr="006A548E">
              <w:rPr>
                <w:noProof/>
              </w:rPr>
              <w:t>Training on the Charter (FRA) followed by the expert.</w:t>
            </w:r>
          </w:p>
          <w:p w14:paraId="025573CB" w14:textId="77777777" w:rsidR="006A548E" w:rsidRPr="006A548E" w:rsidRDefault="006A548E" w:rsidP="006A548E">
            <w:pPr>
              <w:pStyle w:val="Personnequisigne"/>
              <w:numPr>
                <w:ilvl w:val="0"/>
                <w:numId w:val="27"/>
              </w:numPr>
              <w:rPr>
                <w:noProof/>
              </w:rPr>
            </w:pPr>
            <w:r w:rsidRPr="006A548E">
              <w:rPr>
                <w:noProof/>
              </w:rPr>
              <w:t>Reference to the Commission’s guidance (2016/C 269/01).</w:t>
            </w:r>
          </w:p>
          <w:p w14:paraId="2347E985" w14:textId="77777777" w:rsidR="006A548E" w:rsidRPr="006A548E" w:rsidRDefault="006A548E" w:rsidP="006A548E">
            <w:pPr>
              <w:pStyle w:val="Personnequisigne"/>
              <w:numPr>
                <w:ilvl w:val="0"/>
                <w:numId w:val="27"/>
              </w:numPr>
              <w:rPr>
                <w:noProof/>
              </w:rPr>
            </w:pPr>
            <w:r w:rsidRPr="006A548E">
              <w:rPr>
                <w:noProof/>
              </w:rPr>
              <w:t>Support from the partners specialized in Fundamental Rights (UNIA, FPS Justice,…).</w:t>
            </w:r>
          </w:p>
          <w:p w14:paraId="18D664B2" w14:textId="77777777" w:rsidR="006A548E" w:rsidRPr="006A548E" w:rsidRDefault="006A548E" w:rsidP="006A548E">
            <w:pPr>
              <w:pStyle w:val="Personnequisigne"/>
              <w:numPr>
                <w:ilvl w:val="0"/>
                <w:numId w:val="27"/>
              </w:numPr>
              <w:rPr>
                <w:noProof/>
              </w:rPr>
            </w:pPr>
            <w:r w:rsidRPr="006A548E">
              <w:rPr>
                <w:noProof/>
              </w:rPr>
              <w:t>Transfer of the complaints by the expert to the relevant instances and follow-up by the MA.</w:t>
            </w:r>
          </w:p>
          <w:p w14:paraId="0FF18B33" w14:textId="13193F4C" w:rsidR="006A548E" w:rsidRPr="006A548E" w:rsidRDefault="006A548E" w:rsidP="006A548E">
            <w:pPr>
              <w:pStyle w:val="Personnequisigne"/>
              <w:numPr>
                <w:ilvl w:val="0"/>
                <w:numId w:val="27"/>
              </w:numPr>
            </w:pPr>
            <w:r w:rsidRPr="006A548E">
              <w:rPr>
                <w:noProof/>
              </w:rPr>
              <w:t>Intermediate bodies AMIF (ESF Vlaanderen et Agence FSE) monitor the respect of the Charter</w:t>
            </w:r>
            <w:r>
              <w:t xml:space="preserve"> / </w:t>
            </w:r>
            <w:r w:rsidRPr="006A548E">
              <w:rPr>
                <w:noProof/>
              </w:rPr>
              <w:t>UNCRPD.</w:t>
            </w:r>
            <w:r w:rsidRPr="006A548E">
              <w:t xml:space="preserve"> </w:t>
            </w:r>
          </w:p>
          <w:p w14:paraId="14FFEAFD" w14:textId="77777777" w:rsidR="00BC27EC" w:rsidRDefault="00BC27EC" w:rsidP="006A548E">
            <w:pPr>
              <w:pStyle w:val="Personnequisigne"/>
              <w:rPr>
                <w:noProof/>
              </w:rPr>
            </w:pPr>
          </w:p>
          <w:p w14:paraId="3B500955" w14:textId="661028F3" w:rsidR="006A548E" w:rsidRPr="006A548E" w:rsidRDefault="006A548E" w:rsidP="006A548E">
            <w:pPr>
              <w:pStyle w:val="Personnequisigne"/>
              <w:rPr>
                <w:noProof/>
              </w:rPr>
            </w:pPr>
            <w:r w:rsidRPr="006A548E">
              <w:rPr>
                <w:noProof/>
              </w:rPr>
              <w:t xml:space="preserve">2. Reporting arrangements to the monitoring committee regarding cases of non-compliance of operations supported by the Funds with the Charter </w:t>
            </w:r>
            <w:r>
              <w:rPr>
                <w:noProof/>
              </w:rPr>
              <w:t xml:space="preserve">/ </w:t>
            </w:r>
            <w:r w:rsidRPr="006A548E">
              <w:rPr>
                <w:noProof/>
              </w:rPr>
              <w:t>UNCRPD and complaints submitted in accordance with the arrangem</w:t>
            </w:r>
            <w:r>
              <w:rPr>
                <w:noProof/>
              </w:rPr>
              <w:t>ents made pursuant to Art 69(7):</w:t>
            </w:r>
          </w:p>
          <w:p w14:paraId="0882C2FF" w14:textId="77777777" w:rsidR="006A548E" w:rsidRPr="006A548E" w:rsidRDefault="006A548E" w:rsidP="006A548E">
            <w:pPr>
              <w:pStyle w:val="Personnequisigne"/>
              <w:numPr>
                <w:ilvl w:val="0"/>
                <w:numId w:val="28"/>
              </w:numPr>
              <w:rPr>
                <w:noProof/>
              </w:rPr>
            </w:pPr>
            <w:r w:rsidRPr="006A548E">
              <w:rPr>
                <w:noProof/>
              </w:rPr>
              <w:t>Compliance of the projects with the Charter presented to the MC (protocol art.3).</w:t>
            </w:r>
          </w:p>
          <w:p w14:paraId="1B7F5E32" w14:textId="77777777" w:rsidR="006A548E" w:rsidRPr="006A548E" w:rsidRDefault="006A548E" w:rsidP="006A548E">
            <w:pPr>
              <w:pStyle w:val="Personnequisigne"/>
              <w:numPr>
                <w:ilvl w:val="0"/>
                <w:numId w:val="28"/>
              </w:numPr>
              <w:rPr>
                <w:noProof/>
              </w:rPr>
            </w:pPr>
            <w:r w:rsidRPr="006A548E">
              <w:rPr>
                <w:noProof/>
              </w:rPr>
              <w:t>Cases of non-compliance with the Charter, complaints and their follow-up reported to the MC (template).</w:t>
            </w:r>
          </w:p>
          <w:p w14:paraId="33E947B4" w14:textId="004D686E" w:rsidR="0087657F" w:rsidRPr="006A548E" w:rsidRDefault="006A548E" w:rsidP="006A548E">
            <w:pPr>
              <w:pStyle w:val="Personnequisigne"/>
              <w:numPr>
                <w:ilvl w:val="0"/>
                <w:numId w:val="28"/>
              </w:numPr>
              <w:rPr>
                <w:noProof/>
              </w:rPr>
            </w:pPr>
            <w:r w:rsidRPr="006A548E">
              <w:rPr>
                <w:noProof/>
              </w:rPr>
              <w:t>A specilized partner (UNIA, FPS Justice) can be invited to the MC to explain a case (protocol art.2 §7).</w:t>
            </w:r>
          </w:p>
          <w:p w14:paraId="41FEF741" w14:textId="2E1725D9" w:rsidR="004465EB" w:rsidRPr="004465EB" w:rsidRDefault="004465EB" w:rsidP="004465EB">
            <w:pPr>
              <w:rPr>
                <w:i/>
              </w:rPr>
            </w:pPr>
            <w:r w:rsidRPr="004465EB">
              <w:rPr>
                <w:i/>
              </w:rPr>
              <w:t xml:space="preserve">3. The controls of public procurements are also carried out by the Managing Authority </w:t>
            </w:r>
            <w:r w:rsidR="00720F5A">
              <w:rPr>
                <w:i/>
              </w:rPr>
              <w:t xml:space="preserve">and Intermediate bodies </w:t>
            </w:r>
            <w:r w:rsidRPr="004465EB">
              <w:rPr>
                <w:i/>
              </w:rPr>
              <w:t>in order to ensure the respect of the Belgian legislation.</w:t>
            </w:r>
          </w:p>
          <w:p w14:paraId="0EC52654" w14:textId="77777777" w:rsidR="004465EB" w:rsidRDefault="004465EB" w:rsidP="006A548E">
            <w:pPr>
              <w:pStyle w:val="Institutionquisigne"/>
            </w:pPr>
          </w:p>
          <w:p w14:paraId="1C94D1CC" w14:textId="77777777" w:rsidR="006A548E" w:rsidRDefault="006A548E" w:rsidP="004465EB">
            <w:pPr>
              <w:pStyle w:val="Institutionquisigne"/>
            </w:pPr>
            <w:r>
              <w:t>No complaints have been received so far.</w:t>
            </w:r>
          </w:p>
          <w:p w14:paraId="031F9853" w14:textId="5B7B19AC" w:rsidR="004465EB" w:rsidRPr="004465EB" w:rsidRDefault="004465EB" w:rsidP="004465EB">
            <w:pPr>
              <w:pStyle w:val="Personnequisigne"/>
            </w:pPr>
          </w:p>
        </w:tc>
      </w:tr>
    </w:tbl>
    <w:p w14:paraId="5AC76075" w14:textId="146E2556" w:rsidR="0087657F" w:rsidRPr="001250D4" w:rsidRDefault="0005722E" w:rsidP="0005722E">
      <w:pPr>
        <w:pStyle w:val="ManualHeading2"/>
        <w:rPr>
          <w:noProof/>
        </w:rPr>
      </w:pPr>
      <w:r w:rsidRPr="0005722E">
        <w:lastRenderedPageBreak/>
        <w:t>5.2.</w:t>
      </w:r>
      <w:r w:rsidRPr="0005722E">
        <w:tab/>
      </w:r>
      <w:r w:rsidR="0001528B">
        <w:rPr>
          <w:noProof/>
        </w:rPr>
        <w:t>Compliance with</w:t>
      </w:r>
      <w:r w:rsidR="0087657F">
        <w:rPr>
          <w:noProof/>
        </w:rPr>
        <w:t xml:space="preserve"> </w:t>
      </w:r>
      <w:r w:rsidR="003A6A89">
        <w:rPr>
          <w:noProof/>
        </w:rPr>
        <w:t>h</w:t>
      </w:r>
      <w:r w:rsidR="0087657F">
        <w:rPr>
          <w:noProof/>
        </w:rPr>
        <w:t xml:space="preserve">orizontal </w:t>
      </w:r>
      <w:r w:rsidR="006C5C3B">
        <w:rPr>
          <w:noProof/>
        </w:rPr>
        <w:t>p</w:t>
      </w:r>
      <w:r w:rsidR="0087657F">
        <w:rPr>
          <w:noProof/>
        </w:rPr>
        <w:t xml:space="preserve">rinciples – </w:t>
      </w:r>
      <w:r w:rsidR="0087657F" w:rsidRPr="002B3B38">
        <w:rPr>
          <w:noProof/>
        </w:rPr>
        <w:t xml:space="preserve">Article </w:t>
      </w:r>
      <w:r w:rsidR="0087657F">
        <w:rPr>
          <w:noProof/>
        </w:rPr>
        <w:t xml:space="preserve">9 </w:t>
      </w:r>
      <w:r w:rsidR="0087657F" w:rsidRPr="002B3B38">
        <w:rPr>
          <w:noProof/>
        </w:rPr>
        <w:t xml:space="preserve">of Regulation (EU) </w:t>
      </w:r>
      <w:r w:rsidR="0087657F" w:rsidRPr="00530801">
        <w:rPr>
          <w:noProof/>
        </w:rPr>
        <w:t>2021/1060</w:t>
      </w:r>
      <w:r w:rsidR="0087657F">
        <w:rPr>
          <w:noProof/>
        </w:rPr>
        <w:t xml:space="preserve"> </w:t>
      </w:r>
    </w:p>
    <w:p w14:paraId="2DCC58D3" w14:textId="633DF767" w:rsidR="0087657F" w:rsidRDefault="00C71B80" w:rsidP="0087657F">
      <w:pPr>
        <w:pStyle w:val="Titrearticle"/>
        <w:spacing w:before="240"/>
        <w:jc w:val="both"/>
        <w:rPr>
          <w:i w:val="0"/>
          <w:noProof/>
          <w:sz w:val="22"/>
        </w:rPr>
      </w:pPr>
      <w:r>
        <w:rPr>
          <w:i w:val="0"/>
          <w:noProof/>
          <w:sz w:val="22"/>
        </w:rPr>
        <w:t>D</w:t>
      </w:r>
      <w:r w:rsidR="0087657F" w:rsidRPr="00364C8A">
        <w:rPr>
          <w:i w:val="0"/>
          <w:noProof/>
          <w:sz w:val="22"/>
        </w:rPr>
        <w:t xml:space="preserve">escribe how </w:t>
      </w:r>
      <w:r w:rsidR="0001528B">
        <w:rPr>
          <w:i w:val="0"/>
          <w:noProof/>
          <w:sz w:val="22"/>
        </w:rPr>
        <w:t xml:space="preserve">compliance </w:t>
      </w:r>
      <w:r w:rsidR="00EE5052">
        <w:rPr>
          <w:i w:val="0"/>
          <w:noProof/>
          <w:sz w:val="22"/>
        </w:rPr>
        <w:t xml:space="preserve">during the accounting year </w:t>
      </w:r>
      <w:r w:rsidR="0001528B">
        <w:rPr>
          <w:i w:val="0"/>
          <w:noProof/>
          <w:sz w:val="22"/>
        </w:rPr>
        <w:t>with</w:t>
      </w:r>
      <w:r w:rsidR="0087657F">
        <w:rPr>
          <w:i w:val="0"/>
          <w:noProof/>
          <w:sz w:val="22"/>
        </w:rPr>
        <w:t xml:space="preserve"> the horizontal principles laid </w:t>
      </w:r>
      <w:r w:rsidR="002E355D">
        <w:rPr>
          <w:i w:val="0"/>
          <w:noProof/>
          <w:sz w:val="22"/>
        </w:rPr>
        <w:t xml:space="preserve">down </w:t>
      </w:r>
      <w:r w:rsidR="0087657F">
        <w:rPr>
          <w:i w:val="0"/>
          <w:noProof/>
          <w:sz w:val="22"/>
        </w:rPr>
        <w:t>in the Common Provision Regulation</w:t>
      </w:r>
      <w:r>
        <w:rPr>
          <w:i w:val="0"/>
          <w:noProof/>
          <w:sz w:val="22"/>
        </w:rPr>
        <w:t xml:space="preserve"> was ensured</w:t>
      </w:r>
      <w:r w:rsidR="0087657F">
        <w:rPr>
          <w:i w:val="0"/>
          <w:noProof/>
          <w:sz w:val="22"/>
        </w:rPr>
        <w:t>, in particular equality between men and wom</w:t>
      </w:r>
      <w:r w:rsidR="001D21A1">
        <w:rPr>
          <w:i w:val="0"/>
          <w:noProof/>
          <w:sz w:val="22"/>
        </w:rPr>
        <w:t>e</w:t>
      </w:r>
      <w:r w:rsidR="0087657F">
        <w:rPr>
          <w:i w:val="0"/>
          <w:noProof/>
          <w:sz w:val="22"/>
        </w:rPr>
        <w:t xml:space="preserve">n and the promotion of gender mainstreaming, as well as </w:t>
      </w:r>
      <w:r w:rsidR="006968E5">
        <w:rPr>
          <w:i w:val="0"/>
          <w:noProof/>
          <w:sz w:val="22"/>
        </w:rPr>
        <w:t>avoiding</w:t>
      </w:r>
      <w:r w:rsidR="0087657F">
        <w:rPr>
          <w:i w:val="0"/>
          <w:noProof/>
          <w:sz w:val="22"/>
        </w:rPr>
        <w:t xml:space="preserve"> discrimination based on </w:t>
      </w:r>
      <w:r w:rsidR="0087657F" w:rsidRPr="000D0247">
        <w:rPr>
          <w:i w:val="0"/>
          <w:noProof/>
          <w:sz w:val="22"/>
        </w:rPr>
        <w:t>gender, racial or ethnic origin, religion or belief, disability, age or sexual orientation</w:t>
      </w:r>
      <w:r w:rsidR="0087657F">
        <w:rPr>
          <w:i w:val="0"/>
          <w:noProof/>
          <w:sz w:val="22"/>
        </w:rPr>
        <w:t>.</w:t>
      </w:r>
    </w:p>
    <w:tbl>
      <w:tblPr>
        <w:tblStyle w:val="Grilledutableau"/>
        <w:tblW w:w="0" w:type="auto"/>
        <w:tblLook w:val="04A0" w:firstRow="1" w:lastRow="0" w:firstColumn="1" w:lastColumn="0" w:noHBand="0" w:noVBand="1"/>
      </w:tblPr>
      <w:tblGrid>
        <w:gridCol w:w="9063"/>
      </w:tblGrid>
      <w:tr w:rsidR="0087657F" w14:paraId="0A5BB32C" w14:textId="77777777" w:rsidTr="00E45665">
        <w:tc>
          <w:tcPr>
            <w:tcW w:w="9289" w:type="dxa"/>
          </w:tcPr>
          <w:p w14:paraId="4A0B816F" w14:textId="77777777" w:rsidR="0087657F" w:rsidRDefault="00BC27EC" w:rsidP="00241BA6">
            <w:pPr>
              <w:pStyle w:val="Personnequisigne"/>
              <w:rPr>
                <w:noProof/>
                <w:sz w:val="22"/>
              </w:rPr>
            </w:pPr>
            <w:r>
              <w:rPr>
                <w:noProof/>
                <w:sz w:val="22"/>
              </w:rPr>
              <w:t>Actions explained under the point 5.1 apply as well to the horizontal principles.</w:t>
            </w:r>
          </w:p>
          <w:p w14:paraId="137854D9" w14:textId="15FA9AA6" w:rsidR="00BC27EC" w:rsidRPr="00BC27EC" w:rsidRDefault="00BC27EC" w:rsidP="00BC27EC">
            <w:pPr>
              <w:pStyle w:val="Institutionquisigne"/>
            </w:pPr>
          </w:p>
        </w:tc>
      </w:tr>
    </w:tbl>
    <w:p w14:paraId="7AF54425" w14:textId="13FAB7E9" w:rsidR="0087657F" w:rsidRPr="000133CF" w:rsidRDefault="0005722E" w:rsidP="0005722E">
      <w:pPr>
        <w:pStyle w:val="ManualHeading1"/>
        <w:rPr>
          <w:noProof/>
        </w:rPr>
      </w:pPr>
      <w:r w:rsidRPr="0005722E">
        <w:t>6.</w:t>
      </w:r>
      <w:r w:rsidRPr="0005722E">
        <w:tab/>
      </w:r>
      <w:r w:rsidR="0087657F" w:rsidRPr="000133CF">
        <w:rPr>
          <w:noProof/>
        </w:rPr>
        <w:t xml:space="preserve">Projects in or in </w:t>
      </w:r>
      <w:r w:rsidR="00B71583">
        <w:rPr>
          <w:noProof/>
        </w:rPr>
        <w:t>relation</w:t>
      </w:r>
      <w:r w:rsidR="00B71583" w:rsidRPr="000133CF">
        <w:rPr>
          <w:noProof/>
        </w:rPr>
        <w:t xml:space="preserve"> </w:t>
      </w:r>
      <w:r w:rsidR="0087657F" w:rsidRPr="000133CF">
        <w:rPr>
          <w:noProof/>
        </w:rPr>
        <w:t>to third countries - Article 35(2)</w:t>
      </w:r>
      <w:r w:rsidR="002F1935">
        <w:rPr>
          <w:noProof/>
        </w:rPr>
        <w:t>,</w:t>
      </w:r>
      <w:r w:rsidR="0087657F" w:rsidRPr="000133CF">
        <w:rPr>
          <w:noProof/>
        </w:rPr>
        <w:t xml:space="preserve"> point (i)</w:t>
      </w:r>
      <w:r w:rsidR="002F1935">
        <w:rPr>
          <w:noProof/>
        </w:rPr>
        <w:t>,</w:t>
      </w:r>
      <w:r w:rsidR="0087657F" w:rsidRPr="000133CF">
        <w:rPr>
          <w:noProof/>
        </w:rPr>
        <w:t xml:space="preserve"> of Regulation (EU) 2021/1147</w:t>
      </w:r>
    </w:p>
    <w:p w14:paraId="2E44433E" w14:textId="58A1B587" w:rsidR="0087657F" w:rsidRDefault="00C71B80" w:rsidP="0087657F">
      <w:pPr>
        <w:pStyle w:val="Titrearticle"/>
        <w:spacing w:before="240"/>
        <w:jc w:val="both"/>
        <w:rPr>
          <w:i w:val="0"/>
          <w:noProof/>
          <w:sz w:val="22"/>
        </w:rPr>
      </w:pPr>
      <w:r>
        <w:rPr>
          <w:i w:val="0"/>
          <w:noProof/>
          <w:sz w:val="22"/>
        </w:rPr>
        <w:t>D</w:t>
      </w:r>
      <w:r w:rsidR="0087657F">
        <w:rPr>
          <w:i w:val="0"/>
          <w:noProof/>
          <w:sz w:val="22"/>
        </w:rPr>
        <w:t xml:space="preserve">escribe any actions taking place in or in </w:t>
      </w:r>
      <w:r w:rsidR="00EE5052">
        <w:rPr>
          <w:i w:val="0"/>
          <w:noProof/>
          <w:sz w:val="22"/>
        </w:rPr>
        <w:t xml:space="preserve">relation </w:t>
      </w:r>
      <w:r w:rsidR="0087657F">
        <w:rPr>
          <w:i w:val="0"/>
          <w:noProof/>
          <w:sz w:val="22"/>
        </w:rPr>
        <w:t xml:space="preserve">to third countries during the accounting year and how these bring </w:t>
      </w:r>
      <w:r w:rsidR="00E36216">
        <w:rPr>
          <w:i w:val="0"/>
          <w:noProof/>
          <w:sz w:val="22"/>
        </w:rPr>
        <w:t xml:space="preserve">Union </w:t>
      </w:r>
      <w:r w:rsidR="0087657F">
        <w:rPr>
          <w:i w:val="0"/>
          <w:noProof/>
          <w:sz w:val="22"/>
        </w:rPr>
        <w:t xml:space="preserve">added value in </w:t>
      </w:r>
      <w:r w:rsidR="006968E5">
        <w:rPr>
          <w:i w:val="0"/>
          <w:noProof/>
          <w:sz w:val="22"/>
        </w:rPr>
        <w:t>achieving</w:t>
      </w:r>
      <w:r w:rsidR="0087657F">
        <w:rPr>
          <w:i w:val="0"/>
          <w:noProof/>
          <w:sz w:val="22"/>
        </w:rPr>
        <w:t xml:space="preserve"> the objectives </w:t>
      </w:r>
      <w:r w:rsidR="006968E5">
        <w:rPr>
          <w:i w:val="0"/>
          <w:noProof/>
          <w:sz w:val="22"/>
        </w:rPr>
        <w:t xml:space="preserve">set </w:t>
      </w:r>
      <w:r w:rsidR="0087657F">
        <w:rPr>
          <w:i w:val="0"/>
          <w:noProof/>
          <w:sz w:val="22"/>
        </w:rPr>
        <w:t>by the fund</w:t>
      </w:r>
      <w:r w:rsidR="001B037F">
        <w:rPr>
          <w:i w:val="0"/>
          <w:noProof/>
          <w:sz w:val="22"/>
        </w:rPr>
        <w:t xml:space="preserve">. Indicate the names of the </w:t>
      </w:r>
      <w:r w:rsidR="001B037F" w:rsidRPr="001B037F">
        <w:rPr>
          <w:i w:val="0"/>
          <w:noProof/>
          <w:sz w:val="22"/>
        </w:rPr>
        <w:t>third countries concerned.</w:t>
      </w:r>
      <w:r w:rsidR="001B037F">
        <w:rPr>
          <w:i w:val="0"/>
          <w:noProof/>
          <w:sz w:val="22"/>
        </w:rPr>
        <w:t xml:space="preserve"> </w:t>
      </w:r>
      <w:r w:rsidR="0060652B">
        <w:rPr>
          <w:i w:val="0"/>
          <w:noProof/>
          <w:sz w:val="22"/>
        </w:rPr>
        <w:t>P</w:t>
      </w:r>
      <w:r w:rsidR="0087657F">
        <w:rPr>
          <w:i w:val="0"/>
          <w:noProof/>
          <w:sz w:val="22"/>
        </w:rPr>
        <w:t xml:space="preserve">rovide a description that clarifies that the </w:t>
      </w:r>
      <w:r w:rsidR="0087657F" w:rsidRPr="005B5B3E">
        <w:rPr>
          <w:i w:val="0"/>
          <w:noProof/>
          <w:sz w:val="22"/>
        </w:rPr>
        <w:t xml:space="preserve">actions </w:t>
      </w:r>
      <w:r w:rsidR="006968E5">
        <w:rPr>
          <w:i w:val="0"/>
          <w:noProof/>
          <w:sz w:val="22"/>
        </w:rPr>
        <w:t xml:space="preserve">supported by the fund </w:t>
      </w:r>
      <w:r w:rsidR="0087657F" w:rsidRPr="005B5B3E">
        <w:rPr>
          <w:i w:val="0"/>
          <w:noProof/>
          <w:sz w:val="22"/>
        </w:rPr>
        <w:t>are not development-oriented</w:t>
      </w:r>
      <w:r w:rsidR="0087657F">
        <w:rPr>
          <w:i w:val="0"/>
          <w:noProof/>
          <w:sz w:val="22"/>
        </w:rPr>
        <w:t>,</w:t>
      </w:r>
      <w:r w:rsidR="0087657F" w:rsidRPr="005B5B3E">
        <w:rPr>
          <w:i w:val="0"/>
          <w:noProof/>
          <w:sz w:val="22"/>
        </w:rPr>
        <w:t xml:space="preserve"> serve the interest of internal </w:t>
      </w:r>
      <w:r w:rsidR="00E36216">
        <w:rPr>
          <w:i w:val="0"/>
          <w:noProof/>
          <w:sz w:val="22"/>
        </w:rPr>
        <w:t>Union</w:t>
      </w:r>
      <w:r w:rsidR="00E36216" w:rsidRPr="005B5B3E">
        <w:rPr>
          <w:i w:val="0"/>
          <w:noProof/>
          <w:sz w:val="22"/>
        </w:rPr>
        <w:t xml:space="preserve"> </w:t>
      </w:r>
      <w:r w:rsidR="0087657F" w:rsidRPr="005B5B3E">
        <w:rPr>
          <w:i w:val="0"/>
          <w:noProof/>
          <w:sz w:val="22"/>
        </w:rPr>
        <w:t xml:space="preserve">policies and </w:t>
      </w:r>
      <w:r w:rsidR="0087657F">
        <w:rPr>
          <w:i w:val="0"/>
          <w:noProof/>
          <w:sz w:val="22"/>
        </w:rPr>
        <w:t>are</w:t>
      </w:r>
      <w:r w:rsidR="0087657F" w:rsidRPr="005B5B3E">
        <w:rPr>
          <w:i w:val="0"/>
          <w:noProof/>
          <w:sz w:val="22"/>
        </w:rPr>
        <w:t xml:space="preserve"> consistent with activities undertaken within the </w:t>
      </w:r>
      <w:r w:rsidR="00E36216">
        <w:rPr>
          <w:i w:val="0"/>
          <w:noProof/>
          <w:sz w:val="22"/>
        </w:rPr>
        <w:t>Union</w:t>
      </w:r>
      <w:r w:rsidR="0087657F">
        <w:rPr>
          <w:i w:val="0"/>
          <w:noProof/>
          <w:sz w:val="22"/>
        </w:rPr>
        <w:t xml:space="preserve">. </w:t>
      </w:r>
      <w:r w:rsidR="00B66713">
        <w:rPr>
          <w:i w:val="0"/>
          <w:noProof/>
          <w:sz w:val="22"/>
        </w:rPr>
        <w:t>If relevant, refer</w:t>
      </w:r>
      <w:r w:rsidR="0087657F">
        <w:rPr>
          <w:i w:val="0"/>
          <w:noProof/>
          <w:sz w:val="22"/>
        </w:rPr>
        <w:t xml:space="preserve"> to the consultations with the Commission </w:t>
      </w:r>
      <w:r w:rsidR="0001528B">
        <w:rPr>
          <w:i w:val="0"/>
          <w:noProof/>
          <w:sz w:val="22"/>
        </w:rPr>
        <w:t>before</w:t>
      </w:r>
      <w:r w:rsidR="0087657F">
        <w:rPr>
          <w:i w:val="0"/>
          <w:noProof/>
          <w:sz w:val="22"/>
        </w:rPr>
        <w:t xml:space="preserve"> the project </w:t>
      </w:r>
      <w:r w:rsidR="007C7AAC">
        <w:rPr>
          <w:i w:val="0"/>
          <w:noProof/>
          <w:sz w:val="22"/>
        </w:rPr>
        <w:t>was approved</w:t>
      </w:r>
      <w:r w:rsidR="00C21D44">
        <w:rPr>
          <w:i w:val="0"/>
          <w:noProof/>
          <w:sz w:val="22"/>
        </w:rPr>
        <w:t xml:space="preserve"> </w:t>
      </w:r>
      <w:r w:rsidR="0087657F">
        <w:rPr>
          <w:i w:val="0"/>
          <w:noProof/>
          <w:sz w:val="22"/>
        </w:rPr>
        <w:t>(Article 16(11)</w:t>
      </w:r>
      <w:r w:rsidR="00410DEC">
        <w:rPr>
          <w:i w:val="0"/>
          <w:noProof/>
          <w:sz w:val="22"/>
        </w:rPr>
        <w:t xml:space="preserve"> of </w:t>
      </w:r>
      <w:r w:rsidR="006E268C">
        <w:rPr>
          <w:i w:val="0"/>
          <w:noProof/>
          <w:sz w:val="22"/>
        </w:rPr>
        <w:t>R</w:t>
      </w:r>
      <w:r w:rsidR="00410DEC">
        <w:rPr>
          <w:i w:val="0"/>
          <w:noProof/>
          <w:sz w:val="22"/>
        </w:rPr>
        <w:t>egulation</w:t>
      </w:r>
      <w:r w:rsidR="006E268C">
        <w:rPr>
          <w:i w:val="0"/>
          <w:noProof/>
          <w:sz w:val="22"/>
        </w:rPr>
        <w:t xml:space="preserve"> </w:t>
      </w:r>
      <w:r w:rsidR="006E268C" w:rsidRPr="006E268C">
        <w:rPr>
          <w:i w:val="0"/>
          <w:noProof/>
          <w:sz w:val="22"/>
        </w:rPr>
        <w:t>(EU) 2021/1147</w:t>
      </w:r>
      <w:r w:rsidR="0087657F">
        <w:rPr>
          <w:i w:val="0"/>
          <w:noProof/>
          <w:sz w:val="22"/>
        </w:rPr>
        <w:t>).</w:t>
      </w:r>
      <w:r w:rsidR="001B037F">
        <w:rPr>
          <w:i w:val="0"/>
          <w:noProof/>
          <w:sz w:val="22"/>
        </w:rPr>
        <w:t xml:space="preserve"> </w:t>
      </w:r>
    </w:p>
    <w:tbl>
      <w:tblPr>
        <w:tblStyle w:val="Grilledutableau"/>
        <w:tblW w:w="0" w:type="auto"/>
        <w:tblLook w:val="04A0" w:firstRow="1" w:lastRow="0" w:firstColumn="1" w:lastColumn="0" w:noHBand="0" w:noVBand="1"/>
      </w:tblPr>
      <w:tblGrid>
        <w:gridCol w:w="9063"/>
      </w:tblGrid>
      <w:tr w:rsidR="0087657F" w14:paraId="6EB9110B" w14:textId="77777777" w:rsidTr="00E45665">
        <w:tc>
          <w:tcPr>
            <w:tcW w:w="9289" w:type="dxa"/>
          </w:tcPr>
          <w:p w14:paraId="7FAAF427" w14:textId="77777777" w:rsidR="004465EB" w:rsidRPr="004465EB" w:rsidRDefault="004465EB" w:rsidP="00F161F2">
            <w:pPr>
              <w:pStyle w:val="Personnequisigne"/>
              <w:jc w:val="both"/>
              <w:rPr>
                <w:noProof/>
              </w:rPr>
            </w:pPr>
            <w:r w:rsidRPr="004465EB">
              <w:rPr>
                <w:noProof/>
              </w:rPr>
              <w:t>6 projects taking place in or with third countries have been selected during the reporting period (EU contribution 14.536.809,79€):</w:t>
            </w:r>
          </w:p>
          <w:p w14:paraId="5C658536" w14:textId="77777777" w:rsidR="004465EB" w:rsidRPr="004465EB" w:rsidRDefault="004465EB" w:rsidP="00F161F2">
            <w:pPr>
              <w:pStyle w:val="Personnequisigne"/>
              <w:jc w:val="both"/>
              <w:rPr>
                <w:noProof/>
              </w:rPr>
            </w:pPr>
          </w:p>
          <w:p w14:paraId="48AE056F" w14:textId="3D2F17C7" w:rsidR="004465EB" w:rsidRPr="004465EB" w:rsidRDefault="004465EB" w:rsidP="00F161F2">
            <w:pPr>
              <w:pStyle w:val="Personnequisigne"/>
              <w:jc w:val="both"/>
            </w:pPr>
            <w:r w:rsidRPr="004465EB">
              <w:rPr>
                <w:noProof/>
              </w:rPr>
              <w:t xml:space="preserve">BE received a positive opinion </w:t>
            </w:r>
            <w:r w:rsidR="00F161F2">
              <w:rPr>
                <w:noProof/>
              </w:rPr>
              <w:t xml:space="preserve">from COM </w:t>
            </w:r>
            <w:r w:rsidRPr="004465EB">
              <w:rPr>
                <w:noProof/>
              </w:rPr>
              <w:t xml:space="preserve">with some comments : </w:t>
            </w:r>
            <w:r w:rsidR="00F161F2">
              <w:rPr>
                <w:noProof/>
              </w:rPr>
              <w:t>“</w:t>
            </w:r>
            <w:r w:rsidRPr="004465EB">
              <w:rPr>
                <w:noProof/>
              </w:rPr>
              <w:t xml:space="preserve">ensure synergies and avoid overlaps with Frontex Joint Reintegration Services as well as NDICI-funded activities and give more details on the legal migration project (choice of partner countries that you intend to prioritize and learn if you intend to continue ongoing bilateral mobility schemes or launch new schemes with new partner countries. This information can be provided in the Annual </w:t>
            </w:r>
            <w:r w:rsidRPr="004465EB">
              <w:rPr>
                <w:noProof/>
              </w:rPr>
              <w:lastRenderedPageBreak/>
              <w:t>Performance Report. Furthermore, we encourage you to seek coherence with projects funded under the Migration Partnership Facility (MPF)).</w:t>
            </w:r>
            <w:r w:rsidR="00F161F2">
              <w:rPr>
                <w:noProof/>
              </w:rPr>
              <w:t>”</w:t>
            </w:r>
          </w:p>
          <w:p w14:paraId="57134346" w14:textId="77777777" w:rsidR="004465EB" w:rsidRPr="004465EB" w:rsidRDefault="004465EB" w:rsidP="00F161F2">
            <w:pPr>
              <w:pStyle w:val="Institutionquisigne"/>
              <w:spacing w:before="0"/>
            </w:pPr>
          </w:p>
          <w:p w14:paraId="1908A701" w14:textId="4C27DD2E" w:rsidR="004465EB" w:rsidRDefault="004465EB" w:rsidP="00F161F2">
            <w:pPr>
              <w:pStyle w:val="Institutionquisigne"/>
              <w:spacing w:before="0"/>
            </w:pPr>
            <w:r w:rsidRPr="004465EB">
              <w:t xml:space="preserve">4 return and reintegration projects (IOM, Caritas, </w:t>
            </w:r>
            <w:proofErr w:type="spellStart"/>
            <w:r w:rsidRPr="004465EB">
              <w:t>Fedasil</w:t>
            </w:r>
            <w:proofErr w:type="spellEnd"/>
            <w:r w:rsidRPr="004465EB">
              <w:t xml:space="preserve">, Immigration Office) : </w:t>
            </w:r>
          </w:p>
          <w:p w14:paraId="305CFC76" w14:textId="77777777" w:rsidR="008E78DF" w:rsidRPr="008E78DF" w:rsidRDefault="008E78DF" w:rsidP="00F161F2">
            <w:pPr>
              <w:pStyle w:val="Personnequisigne"/>
              <w:jc w:val="both"/>
            </w:pPr>
          </w:p>
          <w:p w14:paraId="71C4A0CE" w14:textId="6DF996C8" w:rsidR="008E78DF" w:rsidRPr="008E78DF" w:rsidRDefault="004465EB" w:rsidP="00F161F2">
            <w:pPr>
              <w:pStyle w:val="Institutionquisigne"/>
              <w:numPr>
                <w:ilvl w:val="0"/>
                <w:numId w:val="29"/>
              </w:numPr>
              <w:spacing w:before="0" w:after="240"/>
              <w:ind w:left="0" w:hanging="357"/>
              <w:rPr>
                <w:rFonts w:ascii="Calibri" w:eastAsia="Calibri" w:hAnsi="Calibri" w:cs="Calibri"/>
              </w:rPr>
            </w:pPr>
            <w:r w:rsidRPr="004465EB">
              <w:rPr>
                <w:noProof/>
              </w:rPr>
              <w:t xml:space="preserve">Partner organizations in the countries of origin are financially supported, lessons learned and best practices are shared, the final beneficiaries are assisted and monitored by the staff of partner organizations in the countries of origin after their return. </w:t>
            </w:r>
            <w:r w:rsidR="008E78DF">
              <w:rPr>
                <w:noProof/>
              </w:rPr>
              <w:t xml:space="preserve">List of countries: </w:t>
            </w:r>
            <w:r w:rsidR="008E78DF" w:rsidRPr="008E78DF">
              <w:rPr>
                <w:noProof/>
              </w:rPr>
              <w:t>Armenia, Algeria, Brazil, Burkina Faso, Burundi, Cameroon, Colombia, Congo, Ecuador, El Salvador, Georgia, Ghana, Guinee, India, Iraq, Ivry Coast, Jordan, Moldova, Mongolia, Morocco, Nepal, Niger, Nigeria, North Macedonia, Pakistan, Palestina Peru, the Philippines, the Russian Federation, Rwanda, Senegal, Serbia, Somalia, Sudan, Tunesia, Togo and Turkey.</w:t>
            </w:r>
            <w:r w:rsidR="008E78DF">
              <w:rPr>
                <w:noProof/>
              </w:rPr>
              <w:t xml:space="preserve"> Additionnaly to the structural support to the the countries mentioned above, </w:t>
            </w:r>
            <w:r w:rsidR="008E78DF" w:rsidRPr="008E78DF">
              <w:rPr>
                <w:noProof/>
              </w:rPr>
              <w:t>individual assistance activities, such as but not limited to, additional in-kind reintegration sustainability grants for income generating activities, in-kind reintegration sustainability grants for families, individual medical and psychosocial support, and TVET were extended to eligible beneficiaries returning to countries outside of these priority countries</w:t>
            </w:r>
          </w:p>
          <w:p w14:paraId="597617CC" w14:textId="4836EFE1" w:rsidR="00715E4F" w:rsidRDefault="004465EB" w:rsidP="00F161F2">
            <w:pPr>
              <w:pStyle w:val="Institutionquisigne"/>
              <w:numPr>
                <w:ilvl w:val="0"/>
                <w:numId w:val="29"/>
              </w:numPr>
              <w:spacing w:before="0"/>
              <w:ind w:left="0" w:hanging="357"/>
            </w:pPr>
            <w:r w:rsidRPr="004465EB">
              <w:t>Improvement of the identification process and ensuring of human conditions during the whole return process (voluntary &amp; forced). It includes support and cooperation with third countries in BE, technical assistance in the countries of origin (technical support for identification process), support (included medical support) and guidance through reintegration (by Immigration Office or partner organizations) &amp; monitoring after return.</w:t>
            </w:r>
          </w:p>
          <w:p w14:paraId="735BD37C" w14:textId="77777777" w:rsidR="00715E4F" w:rsidRPr="00715E4F" w:rsidRDefault="00715E4F" w:rsidP="00F161F2">
            <w:pPr>
              <w:pStyle w:val="Personnequisigne"/>
              <w:jc w:val="both"/>
            </w:pPr>
          </w:p>
          <w:p w14:paraId="574F4E8B" w14:textId="77777777" w:rsidR="004465EB" w:rsidRPr="00AE14EB" w:rsidRDefault="004465EB" w:rsidP="00F161F2">
            <w:pPr>
              <w:pStyle w:val="Personnequisigne"/>
              <w:jc w:val="both"/>
              <w:rPr>
                <w:noProof/>
                <w:lang w:val="en-US"/>
              </w:rPr>
            </w:pPr>
          </w:p>
          <w:p w14:paraId="18850E87" w14:textId="0F70A587" w:rsidR="004465EB" w:rsidRPr="004465EB" w:rsidRDefault="004465EB" w:rsidP="00F161F2">
            <w:pPr>
              <w:pStyle w:val="Institutionquisigne"/>
              <w:spacing w:before="0"/>
              <w:rPr>
                <w:lang w:val="en-US"/>
              </w:rPr>
            </w:pPr>
            <w:r w:rsidRPr="004465EB">
              <w:rPr>
                <w:lang w:val="en-US"/>
              </w:rPr>
              <w:t>1 resettlement project (</w:t>
            </w:r>
            <w:proofErr w:type="spellStart"/>
            <w:r w:rsidRPr="004465EB">
              <w:rPr>
                <w:lang w:val="en-US"/>
              </w:rPr>
              <w:t>Fedasil</w:t>
            </w:r>
            <w:proofErr w:type="spellEnd"/>
            <w:r w:rsidRPr="004465EB">
              <w:rPr>
                <w:lang w:val="en-US"/>
              </w:rPr>
              <w:t xml:space="preserve">) </w:t>
            </w:r>
            <w:r w:rsidRPr="004465EB">
              <w:rPr>
                <w:noProof/>
              </w:rPr>
              <w:t xml:space="preserve">with the aim to improve the Belgian resettlement procedures &amp; developping other legal paths for third country nationals in need of a protection. The outside component consists of : interviewing persons in need of a protection (by BE asylum instances) &amp; providing them a socio-cultural training (by Fedasil) before they are resettled to BE. Concerned countries: </w:t>
            </w:r>
            <w:r w:rsidRPr="00AD0611">
              <w:rPr>
                <w:noProof/>
              </w:rPr>
              <w:t>Turkey, Lebanon, Jordan, Rwanda, Uganda.</w:t>
            </w:r>
            <w:r w:rsidRPr="004465EB">
              <w:rPr>
                <w:noProof/>
                <w:lang w:val="en-US"/>
              </w:rPr>
              <w:tab/>
            </w:r>
            <w:r w:rsidRPr="004465EB">
              <w:rPr>
                <w:noProof/>
              </w:rPr>
              <w:t xml:space="preserve"> </w:t>
            </w:r>
          </w:p>
          <w:p w14:paraId="438B1753" w14:textId="77777777" w:rsidR="004465EB" w:rsidRPr="004465EB" w:rsidRDefault="004465EB" w:rsidP="00F161F2">
            <w:pPr>
              <w:pStyle w:val="Personnequisigne"/>
              <w:jc w:val="both"/>
              <w:rPr>
                <w:noProof/>
              </w:rPr>
            </w:pPr>
          </w:p>
          <w:p w14:paraId="7DE4E90A" w14:textId="77777777" w:rsidR="0087657F" w:rsidRDefault="004465EB" w:rsidP="00F161F2">
            <w:pPr>
              <w:pStyle w:val="Personnequisigne"/>
              <w:jc w:val="both"/>
              <w:rPr>
                <w:noProof/>
              </w:rPr>
            </w:pPr>
            <w:r w:rsidRPr="004465EB">
              <w:rPr>
                <w:noProof/>
              </w:rPr>
              <w:t>1 legal migration project (Immigration Office) with the aim to start pilot projects on circular migration with partner countries. The external activities of this project haven’t started yet.</w:t>
            </w:r>
          </w:p>
          <w:p w14:paraId="0BD4687C" w14:textId="63598F8C" w:rsidR="00201722" w:rsidRPr="00201722" w:rsidRDefault="00201722" w:rsidP="00201722">
            <w:pPr>
              <w:pStyle w:val="Institutionquisigne"/>
            </w:pPr>
          </w:p>
        </w:tc>
      </w:tr>
    </w:tbl>
    <w:p w14:paraId="4CCFD572" w14:textId="20DB3130" w:rsidR="0087657F" w:rsidRPr="000133CF" w:rsidRDefault="0005722E" w:rsidP="0005722E">
      <w:pPr>
        <w:pStyle w:val="ManualHeading1"/>
        <w:rPr>
          <w:noProof/>
        </w:rPr>
      </w:pPr>
      <w:r w:rsidRPr="0005722E">
        <w:lastRenderedPageBreak/>
        <w:t>7.</w:t>
      </w:r>
      <w:r w:rsidRPr="0005722E">
        <w:tab/>
      </w:r>
      <w:r w:rsidR="0087657F" w:rsidRPr="000133CF">
        <w:rPr>
          <w:noProof/>
        </w:rPr>
        <w:t>Summary – Article 35(2) of regulation (EU) 2021/1147</w:t>
      </w:r>
    </w:p>
    <w:p w14:paraId="5C3C5965" w14:textId="2A3A65D1" w:rsidR="0087657F" w:rsidRDefault="0087657F" w:rsidP="0087657F">
      <w:pPr>
        <w:pStyle w:val="Titrearticle"/>
        <w:spacing w:before="240"/>
        <w:jc w:val="both"/>
        <w:rPr>
          <w:i w:val="0"/>
          <w:noProof/>
          <w:sz w:val="22"/>
        </w:rPr>
      </w:pPr>
      <w:r>
        <w:rPr>
          <w:i w:val="0"/>
          <w:noProof/>
          <w:sz w:val="22"/>
        </w:rPr>
        <w:t>P</w:t>
      </w:r>
      <w:r w:rsidRPr="00450B1B">
        <w:rPr>
          <w:i w:val="0"/>
          <w:noProof/>
          <w:sz w:val="22"/>
        </w:rPr>
        <w:t>rovide a summary of the</w:t>
      </w:r>
      <w:r w:rsidRPr="00450B1B">
        <w:rPr>
          <w:bCs/>
          <w:noProof/>
        </w:rPr>
        <w:t xml:space="preserve"> </w:t>
      </w:r>
      <w:r w:rsidR="00B043A6">
        <w:rPr>
          <w:i w:val="0"/>
          <w:noProof/>
          <w:sz w:val="22"/>
        </w:rPr>
        <w:t>S</w:t>
      </w:r>
      <w:r>
        <w:rPr>
          <w:i w:val="0"/>
          <w:noProof/>
          <w:sz w:val="22"/>
        </w:rPr>
        <w:t>ections</w:t>
      </w:r>
      <w:r w:rsidRPr="00450B1B">
        <w:rPr>
          <w:i w:val="0"/>
          <w:noProof/>
          <w:sz w:val="22"/>
        </w:rPr>
        <w:t xml:space="preserve"> </w:t>
      </w:r>
      <w:r w:rsidR="00B043A6">
        <w:rPr>
          <w:i w:val="0"/>
          <w:noProof/>
          <w:sz w:val="22"/>
        </w:rPr>
        <w:t>1 to 6</w:t>
      </w:r>
      <w:r>
        <w:rPr>
          <w:i w:val="0"/>
          <w:noProof/>
          <w:sz w:val="22"/>
        </w:rPr>
        <w:t xml:space="preserve">, which will be translated and made available to the public. </w:t>
      </w:r>
    </w:p>
    <w:p w14:paraId="123E4F83" w14:textId="6701CB65" w:rsidR="0087657F" w:rsidRDefault="0087657F" w:rsidP="0087657F">
      <w:pPr>
        <w:pStyle w:val="Titrearticle"/>
        <w:spacing w:before="240"/>
        <w:jc w:val="both"/>
        <w:rPr>
          <w:i w:val="0"/>
          <w:noProof/>
          <w:sz w:val="22"/>
        </w:rPr>
      </w:pPr>
      <w:r w:rsidRPr="003E7BFC">
        <w:rPr>
          <w:i w:val="0"/>
          <w:noProof/>
          <w:sz w:val="22"/>
        </w:rPr>
        <w:t xml:space="preserve">As a minimum, the summary </w:t>
      </w:r>
      <w:r w:rsidR="00E36216">
        <w:rPr>
          <w:i w:val="0"/>
          <w:noProof/>
          <w:sz w:val="22"/>
        </w:rPr>
        <w:t>shall</w:t>
      </w:r>
      <w:r w:rsidR="00E36216" w:rsidRPr="003E7BFC">
        <w:rPr>
          <w:i w:val="0"/>
          <w:noProof/>
          <w:sz w:val="22"/>
        </w:rPr>
        <w:t xml:space="preserve"> </w:t>
      </w:r>
      <w:r w:rsidRPr="003E7BFC">
        <w:rPr>
          <w:i w:val="0"/>
          <w:noProof/>
          <w:sz w:val="22"/>
        </w:rPr>
        <w:t xml:space="preserve">cover all the points listed in </w:t>
      </w:r>
      <w:r w:rsidR="00561E3E">
        <w:rPr>
          <w:i w:val="0"/>
          <w:noProof/>
          <w:sz w:val="22"/>
        </w:rPr>
        <w:t>A</w:t>
      </w:r>
      <w:r w:rsidRPr="003E7BFC">
        <w:rPr>
          <w:i w:val="0"/>
          <w:noProof/>
          <w:sz w:val="22"/>
        </w:rPr>
        <w:t xml:space="preserve">rticle 35(2), </w:t>
      </w:r>
      <w:r w:rsidRPr="00E92DD3">
        <w:rPr>
          <w:i w:val="0"/>
          <w:noProof/>
          <w:sz w:val="22"/>
        </w:rPr>
        <w:t xml:space="preserve">and should </w:t>
      </w:r>
      <w:r w:rsidR="007C7AAC" w:rsidRPr="00E92DD3">
        <w:rPr>
          <w:i w:val="0"/>
          <w:noProof/>
          <w:sz w:val="22"/>
        </w:rPr>
        <w:t xml:space="preserve">preferably </w:t>
      </w:r>
      <w:r w:rsidRPr="00E92DD3">
        <w:rPr>
          <w:i w:val="0"/>
          <w:noProof/>
          <w:sz w:val="22"/>
        </w:rPr>
        <w:t>be structured around them.</w:t>
      </w:r>
      <w:r>
        <w:rPr>
          <w:i w:val="0"/>
          <w:noProof/>
          <w:sz w:val="22"/>
        </w:rPr>
        <w:t xml:space="preserve"> </w:t>
      </w:r>
    </w:p>
    <w:p w14:paraId="7B7D0391" w14:textId="325DC7CE" w:rsidR="0087657F" w:rsidRDefault="0087657F" w:rsidP="0087657F">
      <w:pPr>
        <w:pStyle w:val="Titrearticle"/>
        <w:spacing w:before="240"/>
        <w:jc w:val="both"/>
        <w:rPr>
          <w:i w:val="0"/>
          <w:noProof/>
          <w:sz w:val="22"/>
        </w:rPr>
      </w:pPr>
      <w:r>
        <w:rPr>
          <w:i w:val="0"/>
          <w:noProof/>
          <w:sz w:val="22"/>
        </w:rPr>
        <w:t xml:space="preserve">The use of bullet points, bold text or informative headings is encouraged, so that </w:t>
      </w:r>
      <w:r w:rsidR="000C4CC6">
        <w:rPr>
          <w:i w:val="0"/>
          <w:noProof/>
          <w:sz w:val="22"/>
        </w:rPr>
        <w:t xml:space="preserve">interested stakeholders can easily identify </w:t>
      </w:r>
      <w:r w:rsidR="00535AC2">
        <w:rPr>
          <w:i w:val="0"/>
          <w:noProof/>
          <w:sz w:val="22"/>
        </w:rPr>
        <w:t xml:space="preserve">the </w:t>
      </w:r>
      <w:r w:rsidR="007C7AAC">
        <w:rPr>
          <w:i w:val="0"/>
          <w:noProof/>
          <w:sz w:val="22"/>
        </w:rPr>
        <w:t xml:space="preserve">programme’s </w:t>
      </w:r>
      <w:r>
        <w:rPr>
          <w:i w:val="0"/>
          <w:noProof/>
          <w:sz w:val="22"/>
        </w:rPr>
        <w:t xml:space="preserve">main achievements, </w:t>
      </w:r>
      <w:r w:rsidR="00AB0131">
        <w:rPr>
          <w:i w:val="0"/>
          <w:noProof/>
          <w:sz w:val="22"/>
        </w:rPr>
        <w:t>and</w:t>
      </w:r>
      <w:r>
        <w:rPr>
          <w:i w:val="0"/>
          <w:noProof/>
          <w:sz w:val="22"/>
        </w:rPr>
        <w:t xml:space="preserve"> </w:t>
      </w:r>
      <w:r w:rsidR="00535AC2">
        <w:rPr>
          <w:i w:val="0"/>
          <w:noProof/>
          <w:sz w:val="22"/>
        </w:rPr>
        <w:t>the</w:t>
      </w:r>
      <w:r>
        <w:rPr>
          <w:i w:val="0"/>
          <w:noProof/>
          <w:sz w:val="22"/>
        </w:rPr>
        <w:t xml:space="preserve"> main issues affecting its performance</w:t>
      </w:r>
      <w:r w:rsidR="00AB0131">
        <w:rPr>
          <w:i w:val="0"/>
          <w:noProof/>
          <w:sz w:val="22"/>
        </w:rPr>
        <w:t>.</w:t>
      </w:r>
    </w:p>
    <w:tbl>
      <w:tblPr>
        <w:tblStyle w:val="Grilledutableau"/>
        <w:tblW w:w="0" w:type="auto"/>
        <w:tblLook w:val="04A0" w:firstRow="1" w:lastRow="0" w:firstColumn="1" w:lastColumn="0" w:noHBand="0" w:noVBand="1"/>
      </w:tblPr>
      <w:tblGrid>
        <w:gridCol w:w="9063"/>
      </w:tblGrid>
      <w:tr w:rsidR="0087657F" w14:paraId="1B229DEF" w14:textId="77777777" w:rsidTr="00E45665">
        <w:tc>
          <w:tcPr>
            <w:tcW w:w="9289" w:type="dxa"/>
          </w:tcPr>
          <w:p w14:paraId="5CCCA762" w14:textId="77777777" w:rsidR="00B05190" w:rsidRPr="00B05190" w:rsidRDefault="00B05190" w:rsidP="00350FDA">
            <w:pPr>
              <w:pStyle w:val="Titre1"/>
              <w:outlineLvl w:val="0"/>
              <w:rPr>
                <w:rFonts w:eastAsia="Times New Roman"/>
                <w:noProof/>
                <w:lang w:val="en-US"/>
              </w:rPr>
            </w:pPr>
            <w:r w:rsidRPr="00B05190">
              <w:rPr>
                <w:rFonts w:eastAsia="Times New Roman"/>
                <w:noProof/>
                <w:lang w:val="fr-BE"/>
              </w:rPr>
              <w:lastRenderedPageBreak/>
              <w:t>Performance</w:t>
            </w:r>
          </w:p>
          <w:p w14:paraId="323E54F6" w14:textId="77777777" w:rsidR="00B05190" w:rsidRPr="00B05190" w:rsidRDefault="00B05190" w:rsidP="00350FDA">
            <w:pPr>
              <w:pStyle w:val="Titre2"/>
              <w:outlineLvl w:val="1"/>
              <w:rPr>
                <w:rFonts w:eastAsia="Times New Roman"/>
                <w:noProof/>
                <w:lang w:val="en-US"/>
              </w:rPr>
            </w:pPr>
            <w:r w:rsidRPr="00B05190">
              <w:rPr>
                <w:rFonts w:eastAsia="Times New Roman"/>
                <w:noProof/>
                <w:lang w:val="fr-BE"/>
              </w:rPr>
              <w:t>Progress in implementation – Article 35(2), point (a), of Regulation (EU) 2021/1147</w:t>
            </w:r>
          </w:p>
          <w:p w14:paraId="1C4E2C99" w14:textId="77777777" w:rsidR="00B05190" w:rsidRPr="00B05190" w:rsidRDefault="00B05190" w:rsidP="00350FDA">
            <w:pPr>
              <w:keepNext/>
              <w:keepLines/>
              <w:spacing w:before="40" w:after="0" w:line="259" w:lineRule="auto"/>
              <w:outlineLvl w:val="2"/>
              <w:rPr>
                <w:rFonts w:eastAsia="Times New Roman"/>
                <w:i/>
                <w:noProof/>
                <w:szCs w:val="24"/>
                <w:u w:val="single"/>
                <w:lang w:val="en-US"/>
              </w:rPr>
            </w:pPr>
            <w:r w:rsidRPr="00B05190">
              <w:rPr>
                <w:rFonts w:eastAsia="Times New Roman"/>
                <w:i/>
                <w:noProof/>
                <w:szCs w:val="24"/>
                <w:u w:val="single"/>
                <w:lang w:val="en-US"/>
              </w:rPr>
              <w:t>SO1: 18 projects ongoing, total AMIF financing = 24.556.014,40 EUR.</w:t>
            </w:r>
          </w:p>
          <w:p w14:paraId="7E11AB24" w14:textId="77777777" w:rsidR="00B05190" w:rsidRPr="00B05190" w:rsidRDefault="00B05190" w:rsidP="00350FDA">
            <w:pPr>
              <w:numPr>
                <w:ilvl w:val="0"/>
                <w:numId w:val="38"/>
              </w:numPr>
              <w:spacing w:before="0" w:after="160" w:line="259" w:lineRule="auto"/>
              <w:contextualSpacing/>
              <w:rPr>
                <w:rFonts w:eastAsia="Calibri"/>
                <w:i/>
                <w:noProof/>
                <w:szCs w:val="24"/>
                <w:lang w:val="en-US"/>
              </w:rPr>
            </w:pPr>
            <w:r w:rsidRPr="00B05190">
              <w:rPr>
                <w:rFonts w:eastAsia="Calibri"/>
                <w:b/>
                <w:i/>
                <w:noProof/>
                <w:szCs w:val="24"/>
                <w:lang w:val="en-US"/>
              </w:rPr>
              <w:t xml:space="preserve">Reception : </w:t>
            </w:r>
            <w:r w:rsidRPr="00B05190">
              <w:rPr>
                <w:rFonts w:eastAsia="Calibri"/>
                <w:i/>
                <w:noProof/>
                <w:szCs w:val="24"/>
                <w:lang w:val="en-US"/>
              </w:rPr>
              <w:t xml:space="preserve">BE focuses not only on a qualitative, flexible, and easily adaptable reception system but also on optimizing reception capacity and its ability to adapt to increasing or decreasing  number of arrivals. </w:t>
            </w:r>
            <w:r w:rsidRPr="00B05190">
              <w:rPr>
                <w:rFonts w:eastAsia="Calibri"/>
                <w:b/>
                <w:i/>
                <w:noProof/>
                <w:szCs w:val="24"/>
                <w:lang w:val="en-US"/>
              </w:rPr>
              <w:t>Two main strategies</w:t>
            </w:r>
            <w:r w:rsidRPr="00B05190">
              <w:rPr>
                <w:rFonts w:eastAsia="Calibri"/>
                <w:i/>
                <w:noProof/>
                <w:szCs w:val="24"/>
                <w:lang w:val="en-US"/>
              </w:rPr>
              <w:t xml:space="preserve">: </w:t>
            </w:r>
          </w:p>
          <w:p w14:paraId="06DF81D0" w14:textId="77777777" w:rsidR="00B05190" w:rsidRPr="00B05190" w:rsidRDefault="00B05190" w:rsidP="00350FDA">
            <w:pPr>
              <w:numPr>
                <w:ilvl w:val="1"/>
                <w:numId w:val="38"/>
              </w:numPr>
              <w:spacing w:before="0" w:after="160" w:line="259" w:lineRule="auto"/>
              <w:contextualSpacing/>
              <w:rPr>
                <w:rFonts w:eastAsia="Calibri"/>
                <w:i/>
                <w:noProof/>
                <w:szCs w:val="24"/>
                <w:lang w:val="en-US"/>
              </w:rPr>
            </w:pPr>
            <w:r w:rsidRPr="00B05190">
              <w:rPr>
                <w:rFonts w:eastAsia="Calibri"/>
                <w:i/>
                <w:noProof/>
                <w:szCs w:val="24"/>
                <w:lang w:val="en-US"/>
              </w:rPr>
              <w:t>strengthening the internal functioning of the reception agency by implementing monitoring, digitization, and communication measures</w:t>
            </w:r>
          </w:p>
          <w:p w14:paraId="4783B43F" w14:textId="77777777" w:rsidR="00B05190" w:rsidRPr="00B05190" w:rsidRDefault="00B05190" w:rsidP="00350FDA">
            <w:pPr>
              <w:numPr>
                <w:ilvl w:val="1"/>
                <w:numId w:val="38"/>
              </w:numPr>
              <w:spacing w:before="0" w:after="160" w:line="259" w:lineRule="auto"/>
              <w:contextualSpacing/>
              <w:rPr>
                <w:rFonts w:eastAsia="Calibri"/>
                <w:i/>
                <w:noProof/>
                <w:szCs w:val="24"/>
                <w:lang w:val="en-US"/>
              </w:rPr>
            </w:pPr>
            <w:r w:rsidRPr="00B05190">
              <w:rPr>
                <w:rFonts w:eastAsia="Calibri"/>
                <w:i/>
                <w:noProof/>
                <w:szCs w:val="24"/>
                <w:lang w:val="en-US"/>
              </w:rPr>
              <w:t>promoting national and international cooperation with organizations active in reception, procedural processes, or the accompaniment of applicants for international protection.</w:t>
            </w:r>
          </w:p>
          <w:p w14:paraId="22A6AAC2" w14:textId="1147B746" w:rsidR="00B05190" w:rsidRPr="00B05190" w:rsidRDefault="00B05190" w:rsidP="00350FDA">
            <w:pPr>
              <w:numPr>
                <w:ilvl w:val="0"/>
                <w:numId w:val="38"/>
              </w:numPr>
              <w:spacing w:before="0" w:after="160" w:line="259" w:lineRule="auto"/>
              <w:contextualSpacing/>
              <w:rPr>
                <w:rFonts w:eastAsia="Calibri"/>
                <w:i/>
                <w:noProof/>
                <w:szCs w:val="24"/>
                <w:lang w:val="fr-BE"/>
              </w:rPr>
            </w:pPr>
            <w:r w:rsidRPr="00B05190">
              <w:rPr>
                <w:rFonts w:eastAsia="Calibri"/>
                <w:b/>
                <w:i/>
                <w:noProof/>
                <w:szCs w:val="24"/>
                <w:lang w:val="fr-BE"/>
              </w:rPr>
              <w:t>As</w:t>
            </w:r>
            <w:r w:rsidR="00792913">
              <w:rPr>
                <w:rFonts w:eastAsia="Calibri"/>
                <w:b/>
                <w:i/>
                <w:noProof/>
                <w:szCs w:val="24"/>
                <w:lang w:val="fr-BE"/>
              </w:rPr>
              <w:t>ylum</w:t>
            </w:r>
            <w:r w:rsidRPr="00B05190">
              <w:rPr>
                <w:rFonts w:eastAsia="Calibri"/>
                <w:b/>
                <w:i/>
                <w:noProof/>
                <w:szCs w:val="24"/>
                <w:lang w:val="fr-BE"/>
              </w:rPr>
              <w:t xml:space="preserve"> : </w:t>
            </w:r>
          </w:p>
          <w:p w14:paraId="3624D7E4" w14:textId="3EDFE03B" w:rsidR="00792913" w:rsidRDefault="00792913" w:rsidP="00816F2C">
            <w:pPr>
              <w:numPr>
                <w:ilvl w:val="1"/>
                <w:numId w:val="50"/>
              </w:numPr>
              <w:spacing w:before="0" w:after="160" w:line="259" w:lineRule="auto"/>
              <w:contextualSpacing/>
              <w:rPr>
                <w:rFonts w:eastAsia="Calibri"/>
                <w:i/>
                <w:noProof/>
                <w:szCs w:val="24"/>
                <w:lang w:val="en-US"/>
              </w:rPr>
            </w:pPr>
            <w:r w:rsidRPr="00792913">
              <w:rPr>
                <w:rFonts w:eastAsia="Calibri"/>
                <w:i/>
                <w:noProof/>
                <w:szCs w:val="24"/>
                <w:lang w:val="en-US"/>
              </w:rPr>
              <w:t>Concerning</w:t>
            </w:r>
            <w:r w:rsidRPr="00792913">
              <w:rPr>
                <w:rFonts w:eastAsia="Calibri"/>
                <w:i/>
                <w:noProof/>
                <w:szCs w:val="24"/>
                <w:lang w:val="en-US"/>
              </w:rPr>
              <w:t xml:space="preserve"> the asylum procedure, BE is focusing on improving the quality of </w:t>
            </w:r>
            <w:r w:rsidRPr="00792913">
              <w:rPr>
                <w:rFonts w:eastAsia="Calibri"/>
                <w:b/>
                <w:i/>
                <w:noProof/>
                <w:szCs w:val="24"/>
                <w:lang w:val="en-US"/>
              </w:rPr>
              <w:t>reception for vulnerable persons</w:t>
            </w:r>
            <w:r w:rsidRPr="00792913">
              <w:rPr>
                <w:rFonts w:eastAsia="Calibri"/>
                <w:i/>
                <w:noProof/>
                <w:szCs w:val="24"/>
                <w:lang w:val="en-US"/>
              </w:rPr>
              <w:t>, especially unaccompanied minors (specific training on interviews in the context of asylum involving minors</w:t>
            </w:r>
            <w:r>
              <w:rPr>
                <w:rFonts w:eastAsia="Calibri"/>
                <w:i/>
                <w:noProof/>
                <w:szCs w:val="24"/>
                <w:lang w:val="en-US"/>
              </w:rPr>
              <w:t xml:space="preserve"> + recruitment of interpreters).</w:t>
            </w:r>
          </w:p>
          <w:p w14:paraId="43E522B5" w14:textId="46A26B7D" w:rsidR="00B05190" w:rsidRPr="00792913" w:rsidRDefault="00792913" w:rsidP="00816F2C">
            <w:pPr>
              <w:numPr>
                <w:ilvl w:val="1"/>
                <w:numId w:val="50"/>
              </w:numPr>
              <w:spacing w:before="0" w:after="160" w:line="259" w:lineRule="auto"/>
              <w:contextualSpacing/>
              <w:rPr>
                <w:rFonts w:eastAsia="Calibri"/>
                <w:i/>
                <w:noProof/>
                <w:szCs w:val="24"/>
                <w:lang w:val="en-US"/>
              </w:rPr>
            </w:pPr>
            <w:r w:rsidRPr="00792913">
              <w:rPr>
                <w:rFonts w:eastAsia="Calibri"/>
                <w:i/>
                <w:noProof/>
                <w:szCs w:val="24"/>
                <w:lang w:val="en-US"/>
              </w:rPr>
              <w:t xml:space="preserve">Efforts are being made to </w:t>
            </w:r>
            <w:r w:rsidRPr="00792913">
              <w:rPr>
                <w:rFonts w:eastAsia="Calibri"/>
                <w:b/>
                <w:i/>
                <w:noProof/>
                <w:szCs w:val="24"/>
                <w:lang w:val="en-US"/>
              </w:rPr>
              <w:t>process asylum files</w:t>
            </w:r>
            <w:r w:rsidRPr="00792913">
              <w:rPr>
                <w:rFonts w:eastAsia="Calibri"/>
                <w:i/>
                <w:noProof/>
                <w:szCs w:val="24"/>
                <w:lang w:val="en-US"/>
              </w:rPr>
              <w:t>, with the emphasis on investment in digitisation (knowledge management platform, development of biometric equipment).</w:t>
            </w:r>
          </w:p>
          <w:p w14:paraId="2177D29D" w14:textId="77777777" w:rsidR="002F7C7D" w:rsidRPr="00AD64A1" w:rsidRDefault="00B05190" w:rsidP="00350FDA">
            <w:pPr>
              <w:keepNext/>
              <w:keepLines/>
              <w:spacing w:before="40" w:after="0" w:line="259" w:lineRule="auto"/>
              <w:outlineLvl w:val="2"/>
              <w:rPr>
                <w:rFonts w:eastAsia="Times New Roman"/>
                <w:i/>
                <w:noProof/>
                <w:szCs w:val="24"/>
                <w:u w:val="single"/>
                <w:lang w:val="en-US"/>
              </w:rPr>
            </w:pPr>
            <w:r w:rsidRPr="00B05190">
              <w:rPr>
                <w:rFonts w:eastAsia="Times New Roman"/>
                <w:i/>
                <w:noProof/>
                <w:szCs w:val="24"/>
                <w:u w:val="single"/>
                <w:lang w:val="en-US"/>
              </w:rPr>
              <w:t xml:space="preserve">SO2: 14 projects are ongoing at federal level (including 1 SA), total AMIF financing = 5.322.058,29 EUR. </w:t>
            </w:r>
          </w:p>
          <w:p w14:paraId="44095721" w14:textId="77777777" w:rsidR="002F7C7D" w:rsidRPr="00AD64A1" w:rsidRDefault="00B05190" w:rsidP="00350FDA">
            <w:pPr>
              <w:keepNext/>
              <w:keepLines/>
              <w:spacing w:before="40" w:after="0" w:line="259" w:lineRule="auto"/>
              <w:outlineLvl w:val="2"/>
              <w:rPr>
                <w:rFonts w:eastAsia="Times New Roman"/>
                <w:i/>
                <w:noProof/>
                <w:szCs w:val="24"/>
                <w:lang w:val="en-US"/>
              </w:rPr>
            </w:pPr>
            <w:r w:rsidRPr="00B05190">
              <w:rPr>
                <w:rFonts w:eastAsia="Times New Roman"/>
                <w:i/>
                <w:noProof/>
                <w:szCs w:val="24"/>
                <w:lang w:val="en-US"/>
              </w:rPr>
              <w:t>At Flemish level 10 projects were selected, total AMIF financing = 2.403.707,54 EUR</w:t>
            </w:r>
          </w:p>
          <w:p w14:paraId="48715A7C" w14:textId="7792C1F4" w:rsidR="00B05190" w:rsidRPr="00B05190" w:rsidRDefault="00B05190" w:rsidP="00350FDA">
            <w:pPr>
              <w:keepNext/>
              <w:keepLines/>
              <w:spacing w:before="40" w:after="0" w:line="259" w:lineRule="auto"/>
              <w:outlineLvl w:val="2"/>
              <w:rPr>
                <w:rFonts w:eastAsia="Times New Roman"/>
                <w:i/>
                <w:noProof/>
                <w:szCs w:val="24"/>
                <w:lang w:val="en-US"/>
              </w:rPr>
            </w:pPr>
            <w:r w:rsidRPr="00B05190">
              <w:rPr>
                <w:rFonts w:eastAsia="Times New Roman"/>
                <w:i/>
                <w:noProof/>
                <w:szCs w:val="24"/>
                <w:lang w:val="en-US"/>
              </w:rPr>
              <w:t xml:space="preserve">in Wallonia / Brussels 45 projects were selected, total AMIF financing = 23.981.392 EUR. </w:t>
            </w:r>
          </w:p>
          <w:p w14:paraId="3FA933FE" w14:textId="77777777" w:rsidR="00B05190" w:rsidRPr="00B05190" w:rsidRDefault="00B05190" w:rsidP="00350FDA">
            <w:pPr>
              <w:numPr>
                <w:ilvl w:val="0"/>
                <w:numId w:val="39"/>
              </w:numPr>
              <w:spacing w:before="0" w:after="160" w:line="259" w:lineRule="auto"/>
              <w:contextualSpacing/>
              <w:rPr>
                <w:rFonts w:eastAsia="Calibri"/>
                <w:i/>
                <w:noProof/>
                <w:szCs w:val="24"/>
              </w:rPr>
            </w:pPr>
            <w:r w:rsidRPr="00B05190">
              <w:rPr>
                <w:rFonts w:eastAsia="Calibri"/>
                <w:b/>
                <w:i/>
                <w:noProof/>
                <w:szCs w:val="24"/>
                <w:lang w:val="en-US"/>
              </w:rPr>
              <w:t>Legal migration projects</w:t>
            </w:r>
            <w:r w:rsidRPr="00B05190">
              <w:rPr>
                <w:rFonts w:eastAsia="Calibri"/>
                <w:i/>
                <w:noProof/>
                <w:szCs w:val="24"/>
                <w:lang w:val="en-US"/>
              </w:rPr>
              <w:t xml:space="preserve"> : focus was set upon:</w:t>
            </w:r>
          </w:p>
          <w:p w14:paraId="593C7528" w14:textId="77777777" w:rsidR="00B05190" w:rsidRPr="00B05190" w:rsidRDefault="00B05190" w:rsidP="00350FDA">
            <w:pPr>
              <w:numPr>
                <w:ilvl w:val="1"/>
                <w:numId w:val="39"/>
              </w:numPr>
              <w:spacing w:before="0" w:after="160" w:line="259" w:lineRule="auto"/>
              <w:contextualSpacing/>
              <w:rPr>
                <w:rFonts w:eastAsia="Calibri"/>
                <w:i/>
                <w:noProof/>
                <w:szCs w:val="24"/>
              </w:rPr>
            </w:pPr>
            <w:r w:rsidRPr="00B05190">
              <w:rPr>
                <w:rFonts w:eastAsia="Calibri"/>
                <w:i/>
                <w:noProof/>
                <w:szCs w:val="24"/>
                <w:lang w:val="en-US"/>
              </w:rPr>
              <w:t>digitalization and development of efficient procedures</w:t>
            </w:r>
          </w:p>
          <w:p w14:paraId="7F677038" w14:textId="77777777" w:rsidR="00B05190" w:rsidRPr="00B05190" w:rsidRDefault="00B05190" w:rsidP="00350FDA">
            <w:pPr>
              <w:numPr>
                <w:ilvl w:val="1"/>
                <w:numId w:val="39"/>
              </w:numPr>
              <w:spacing w:before="0" w:after="160" w:line="259" w:lineRule="auto"/>
              <w:contextualSpacing/>
              <w:rPr>
                <w:rFonts w:eastAsia="Calibri"/>
                <w:i/>
                <w:noProof/>
                <w:szCs w:val="24"/>
              </w:rPr>
            </w:pPr>
            <w:r w:rsidRPr="00B05190">
              <w:rPr>
                <w:rFonts w:eastAsia="Calibri"/>
                <w:i/>
                <w:noProof/>
                <w:szCs w:val="24"/>
              </w:rPr>
              <w:t>program of pilot projects promoting circular migration with partner countries outside the EU</w:t>
            </w:r>
          </w:p>
          <w:p w14:paraId="3E491BBD" w14:textId="77777777" w:rsidR="00B05190" w:rsidRPr="00B05190" w:rsidRDefault="00B05190" w:rsidP="00350FDA">
            <w:pPr>
              <w:numPr>
                <w:ilvl w:val="1"/>
                <w:numId w:val="39"/>
              </w:numPr>
              <w:spacing w:before="0" w:after="160" w:line="259" w:lineRule="auto"/>
              <w:contextualSpacing/>
              <w:rPr>
                <w:rFonts w:eastAsia="Calibri"/>
                <w:i/>
                <w:noProof/>
                <w:szCs w:val="24"/>
              </w:rPr>
            </w:pPr>
            <w:r w:rsidRPr="00B05190">
              <w:rPr>
                <w:rFonts w:eastAsia="Calibri"/>
                <w:i/>
                <w:noProof/>
                <w:szCs w:val="24"/>
                <w:lang w:val="en-US"/>
              </w:rPr>
              <w:t>special attention to vulnerable persons</w:t>
            </w:r>
          </w:p>
          <w:p w14:paraId="15BA0432" w14:textId="77777777" w:rsidR="00B05190" w:rsidRPr="00B05190" w:rsidRDefault="00B05190" w:rsidP="00350FDA">
            <w:pPr>
              <w:numPr>
                <w:ilvl w:val="0"/>
                <w:numId w:val="39"/>
              </w:numPr>
              <w:spacing w:before="0" w:after="160" w:line="259" w:lineRule="auto"/>
              <w:contextualSpacing/>
              <w:rPr>
                <w:rFonts w:eastAsia="Calibri"/>
                <w:b/>
                <w:i/>
                <w:noProof/>
                <w:szCs w:val="24"/>
                <w:lang w:val="en-US"/>
              </w:rPr>
            </w:pPr>
            <w:r w:rsidRPr="00B05190">
              <w:rPr>
                <w:rFonts w:eastAsia="Calibri"/>
                <w:b/>
                <w:i/>
                <w:noProof/>
                <w:szCs w:val="24"/>
                <w:lang w:val="en-US"/>
              </w:rPr>
              <w:t xml:space="preserve">Integration projects : </w:t>
            </w:r>
          </w:p>
          <w:p w14:paraId="1C3FA02C" w14:textId="77777777" w:rsidR="00B05190" w:rsidRPr="00B05190" w:rsidRDefault="00B05190" w:rsidP="00350FDA">
            <w:pPr>
              <w:numPr>
                <w:ilvl w:val="1"/>
                <w:numId w:val="39"/>
              </w:numPr>
              <w:spacing w:before="0" w:after="160" w:line="259" w:lineRule="auto"/>
              <w:contextualSpacing/>
              <w:rPr>
                <w:rFonts w:eastAsia="Calibri"/>
                <w:b/>
                <w:i/>
                <w:noProof/>
                <w:szCs w:val="24"/>
                <w:lang w:val="en-US"/>
              </w:rPr>
            </w:pPr>
            <w:r w:rsidRPr="00B05190">
              <w:rPr>
                <w:rFonts w:eastAsia="Calibri"/>
                <w:b/>
                <w:i/>
                <w:noProof/>
                <w:szCs w:val="24"/>
                <w:lang w:val="en-US"/>
              </w:rPr>
              <w:t xml:space="preserve">Federal level </w:t>
            </w:r>
            <w:r w:rsidRPr="00B05190">
              <w:rPr>
                <w:rFonts w:eastAsia="Calibri"/>
                <w:i/>
                <w:noProof/>
                <w:szCs w:val="24"/>
                <w:lang w:val="en-US"/>
              </w:rPr>
              <w:t>focus is to strengthen the social activation of third-country nationals</w:t>
            </w:r>
          </w:p>
          <w:p w14:paraId="4FF07FB1" w14:textId="7C8727F7" w:rsidR="00B05190" w:rsidRPr="00B05190" w:rsidRDefault="00B05190" w:rsidP="00350FDA">
            <w:pPr>
              <w:numPr>
                <w:ilvl w:val="1"/>
                <w:numId w:val="39"/>
              </w:numPr>
              <w:spacing w:before="0" w:after="160" w:line="259" w:lineRule="auto"/>
              <w:contextualSpacing/>
              <w:rPr>
                <w:rFonts w:eastAsia="Calibri"/>
                <w:i/>
                <w:noProof/>
                <w:szCs w:val="24"/>
                <w:lang w:val="en-US"/>
              </w:rPr>
            </w:pPr>
            <w:r w:rsidRPr="00B05190">
              <w:rPr>
                <w:rFonts w:eastAsia="Calibri"/>
                <w:b/>
                <w:i/>
                <w:noProof/>
                <w:szCs w:val="24"/>
                <w:lang w:val="en-US"/>
              </w:rPr>
              <w:t>Flanders</w:t>
            </w:r>
            <w:r w:rsidR="00636969">
              <w:rPr>
                <w:rFonts w:eastAsia="Calibri"/>
                <w:i/>
                <w:noProof/>
                <w:szCs w:val="24"/>
                <w:lang w:val="en-US"/>
              </w:rPr>
              <w:t xml:space="preserve"> : the start-up of </w:t>
            </w:r>
            <w:r w:rsidRPr="00B05190">
              <w:rPr>
                <w:rFonts w:eastAsia="Calibri"/>
                <w:i/>
                <w:noProof/>
                <w:szCs w:val="24"/>
                <w:lang w:val="en-US"/>
              </w:rPr>
              <w:t xml:space="preserve"> new regional networks that should offer newcomers from third countries more opportunities to develop a social network and to participate in the host society.</w:t>
            </w:r>
          </w:p>
          <w:p w14:paraId="585F7C9F" w14:textId="77777777" w:rsidR="00B05190" w:rsidRPr="00B05190" w:rsidRDefault="00B05190" w:rsidP="00350FDA">
            <w:pPr>
              <w:numPr>
                <w:ilvl w:val="1"/>
                <w:numId w:val="39"/>
              </w:numPr>
              <w:spacing w:before="0" w:after="160" w:line="259" w:lineRule="auto"/>
              <w:contextualSpacing/>
              <w:rPr>
                <w:rFonts w:eastAsia="Calibri"/>
                <w:i/>
                <w:noProof/>
                <w:szCs w:val="24"/>
                <w:lang w:val="en-US"/>
              </w:rPr>
            </w:pPr>
            <w:r w:rsidRPr="00B05190">
              <w:rPr>
                <w:rFonts w:eastAsia="Calibri"/>
                <w:b/>
                <w:i/>
                <w:noProof/>
                <w:szCs w:val="24"/>
                <w:lang w:val="en-US"/>
              </w:rPr>
              <w:t>Wallonia / Brussels</w:t>
            </w:r>
            <w:r w:rsidRPr="00B05190">
              <w:rPr>
                <w:rFonts w:eastAsia="Calibri"/>
                <w:i/>
                <w:noProof/>
                <w:szCs w:val="24"/>
                <w:lang w:val="en-US"/>
              </w:rPr>
              <w:t xml:space="preserve"> : implementation of language courses, on citizenship courses, on individual support for newcomers from third countries to promote their integration, on the reception of minors and the unaccompanied, development of tools or the training of trainers to improve the reception and therefore the integration of these public</w:t>
            </w:r>
          </w:p>
          <w:p w14:paraId="623CB900" w14:textId="77777777" w:rsidR="00B05190" w:rsidRPr="00B05190" w:rsidRDefault="00B05190" w:rsidP="00350FDA">
            <w:pPr>
              <w:numPr>
                <w:ilvl w:val="1"/>
                <w:numId w:val="39"/>
              </w:numPr>
              <w:spacing w:before="0" w:after="160" w:line="259" w:lineRule="auto"/>
              <w:contextualSpacing/>
              <w:rPr>
                <w:rFonts w:eastAsia="Calibri"/>
                <w:i/>
                <w:noProof/>
                <w:szCs w:val="24"/>
                <w:lang w:val="en-US"/>
              </w:rPr>
            </w:pPr>
            <w:r w:rsidRPr="00B05190">
              <w:rPr>
                <w:rFonts w:eastAsia="Calibri"/>
                <w:b/>
                <w:i/>
                <w:noProof/>
                <w:szCs w:val="24"/>
                <w:lang w:val="en-US"/>
              </w:rPr>
              <w:t>German-speaking Community</w:t>
            </w:r>
            <w:r w:rsidRPr="00B05190">
              <w:rPr>
                <w:rFonts w:eastAsia="Calibri"/>
                <w:i/>
                <w:noProof/>
                <w:szCs w:val="24"/>
                <w:lang w:val="en-US"/>
              </w:rPr>
              <w:t xml:space="preserve"> goal is to improve integration at local level by deploying three local integration coordinators: </w:t>
            </w:r>
          </w:p>
          <w:p w14:paraId="4E921BA7" w14:textId="77777777" w:rsidR="00B05190" w:rsidRPr="00B05190" w:rsidRDefault="00B05190" w:rsidP="00350FDA">
            <w:pPr>
              <w:keepNext/>
              <w:keepLines/>
              <w:spacing w:before="40" w:after="0" w:line="259" w:lineRule="auto"/>
              <w:outlineLvl w:val="2"/>
              <w:rPr>
                <w:rFonts w:eastAsia="Times New Roman"/>
                <w:i/>
                <w:noProof/>
                <w:szCs w:val="24"/>
                <w:u w:val="single"/>
                <w:lang w:val="en-US"/>
              </w:rPr>
            </w:pPr>
            <w:r w:rsidRPr="00B05190">
              <w:rPr>
                <w:rFonts w:eastAsia="Times New Roman"/>
                <w:i/>
                <w:noProof/>
                <w:szCs w:val="24"/>
                <w:u w:val="single"/>
                <w:lang w:val="en-US"/>
              </w:rPr>
              <w:t>SO3: 15 projects ongoing, total AMIF financing = 27.066.583,73 EUR.</w:t>
            </w:r>
          </w:p>
          <w:p w14:paraId="563BA9A9" w14:textId="55DE7122" w:rsidR="00B05190" w:rsidRPr="00B05190" w:rsidRDefault="00B05190" w:rsidP="00F35331">
            <w:pPr>
              <w:numPr>
                <w:ilvl w:val="0"/>
                <w:numId w:val="40"/>
              </w:numPr>
              <w:spacing w:before="0" w:after="160" w:line="259" w:lineRule="auto"/>
              <w:contextualSpacing/>
              <w:rPr>
                <w:rFonts w:eastAsia="Calibri"/>
                <w:i/>
                <w:noProof/>
                <w:szCs w:val="24"/>
                <w:lang w:val="en-US"/>
              </w:rPr>
            </w:pPr>
            <w:r w:rsidRPr="00B05190">
              <w:rPr>
                <w:rFonts w:eastAsia="Calibri"/>
                <w:b/>
                <w:i/>
                <w:noProof/>
                <w:szCs w:val="24"/>
                <w:lang w:val="en-US"/>
              </w:rPr>
              <w:lastRenderedPageBreak/>
              <w:t>Voluntary return projects</w:t>
            </w:r>
            <w:r w:rsidRPr="00B05190">
              <w:rPr>
                <w:rFonts w:eastAsia="Calibri"/>
                <w:i/>
                <w:noProof/>
                <w:szCs w:val="24"/>
                <w:lang w:val="en-US"/>
              </w:rPr>
              <w:t xml:space="preserve"> : the focus was on coaching both civil </w:t>
            </w:r>
            <w:r w:rsidR="00F35331">
              <w:rPr>
                <w:rFonts w:eastAsia="Calibri"/>
                <w:i/>
                <w:noProof/>
                <w:szCs w:val="24"/>
                <w:lang w:val="en-US"/>
              </w:rPr>
              <w:t>society and potential returnees, and on providing</w:t>
            </w:r>
            <w:r w:rsidR="00F35331" w:rsidRPr="00F35331">
              <w:rPr>
                <w:rFonts w:eastAsia="Calibri"/>
                <w:i/>
                <w:noProof/>
                <w:szCs w:val="24"/>
                <w:lang w:val="en-US"/>
              </w:rPr>
              <w:t xml:space="preserve"> adequate pre departure counseling and tailor made assisted voluntary return to returnees</w:t>
            </w:r>
          </w:p>
          <w:p w14:paraId="49E8A9FC" w14:textId="77777777" w:rsidR="00B05190" w:rsidRPr="00B05190" w:rsidRDefault="00B05190" w:rsidP="00350FDA">
            <w:pPr>
              <w:numPr>
                <w:ilvl w:val="0"/>
                <w:numId w:val="40"/>
              </w:numPr>
              <w:spacing w:before="0" w:after="160" w:line="259" w:lineRule="auto"/>
              <w:contextualSpacing/>
              <w:rPr>
                <w:rFonts w:eastAsia="Calibri"/>
                <w:i/>
                <w:noProof/>
                <w:szCs w:val="24"/>
                <w:lang w:val="en-US"/>
              </w:rPr>
            </w:pPr>
            <w:r w:rsidRPr="00B05190">
              <w:rPr>
                <w:rFonts w:eastAsia="Calibri"/>
                <w:b/>
                <w:i/>
                <w:noProof/>
                <w:szCs w:val="24"/>
                <w:lang w:val="en-US"/>
              </w:rPr>
              <w:t>Forced return</w:t>
            </w:r>
            <w:r w:rsidRPr="00B05190">
              <w:rPr>
                <w:rFonts w:eastAsia="Calibri"/>
                <w:i/>
                <w:noProof/>
                <w:szCs w:val="24"/>
                <w:lang w:val="en-US"/>
              </w:rPr>
              <w:t xml:space="preserve"> : </w:t>
            </w:r>
          </w:p>
          <w:p w14:paraId="7DCE1078" w14:textId="77777777" w:rsidR="00B05190" w:rsidRPr="00B05190" w:rsidRDefault="00B05190" w:rsidP="00350FDA">
            <w:pPr>
              <w:numPr>
                <w:ilvl w:val="1"/>
                <w:numId w:val="40"/>
              </w:numPr>
              <w:spacing w:before="0" w:after="160" w:line="259" w:lineRule="auto"/>
              <w:contextualSpacing/>
              <w:rPr>
                <w:rFonts w:eastAsia="Calibri"/>
                <w:i/>
                <w:noProof/>
                <w:szCs w:val="24"/>
                <w:lang w:val="en-US"/>
              </w:rPr>
            </w:pPr>
            <w:r w:rsidRPr="00B05190">
              <w:rPr>
                <w:rFonts w:eastAsia="Calibri"/>
                <w:i/>
                <w:noProof/>
                <w:szCs w:val="24"/>
                <w:lang w:val="en-US"/>
              </w:rPr>
              <w:t>Procurement procedures were launched to improve infrastructure and IT tools</w:t>
            </w:r>
          </w:p>
          <w:p w14:paraId="655AC952" w14:textId="77777777" w:rsidR="00B05190" w:rsidRPr="00B05190" w:rsidRDefault="00B05190" w:rsidP="00350FDA">
            <w:pPr>
              <w:numPr>
                <w:ilvl w:val="1"/>
                <w:numId w:val="40"/>
              </w:numPr>
              <w:spacing w:before="0" w:after="160" w:line="259" w:lineRule="auto"/>
              <w:contextualSpacing/>
              <w:rPr>
                <w:rFonts w:eastAsia="Calibri"/>
                <w:i/>
                <w:noProof/>
                <w:szCs w:val="24"/>
                <w:lang w:val="en-US"/>
              </w:rPr>
            </w:pPr>
            <w:r w:rsidRPr="00B05190">
              <w:rPr>
                <w:rFonts w:eastAsia="Calibri"/>
                <w:i/>
                <w:noProof/>
                <w:szCs w:val="24"/>
                <w:lang w:val="en-US"/>
              </w:rPr>
              <w:t>purchase new material</w:t>
            </w:r>
          </w:p>
          <w:p w14:paraId="66EA4732" w14:textId="77777777" w:rsidR="00B05190" w:rsidRPr="00B05190" w:rsidRDefault="00B05190" w:rsidP="00350FDA">
            <w:pPr>
              <w:numPr>
                <w:ilvl w:val="1"/>
                <w:numId w:val="40"/>
              </w:numPr>
              <w:spacing w:before="0" w:after="160" w:line="259" w:lineRule="auto"/>
              <w:contextualSpacing/>
              <w:rPr>
                <w:rFonts w:eastAsia="Calibri"/>
                <w:i/>
                <w:noProof/>
                <w:szCs w:val="24"/>
                <w:lang w:val="en-US"/>
              </w:rPr>
            </w:pPr>
            <w:r w:rsidRPr="00B05190">
              <w:rPr>
                <w:rFonts w:eastAsia="Calibri"/>
                <w:i/>
                <w:noProof/>
                <w:szCs w:val="24"/>
                <w:lang w:val="en-US"/>
              </w:rPr>
              <w:t>new staff was hired and trained to improve and humanize the return process and ensure the protection of the rights of returnees</w:t>
            </w:r>
          </w:p>
          <w:p w14:paraId="44BA4565" w14:textId="77777777" w:rsidR="00B05190" w:rsidRPr="00B05190" w:rsidRDefault="00B05190" w:rsidP="00350FDA">
            <w:pPr>
              <w:keepNext/>
              <w:keepLines/>
              <w:spacing w:before="40" w:after="0" w:line="259" w:lineRule="auto"/>
              <w:outlineLvl w:val="2"/>
              <w:rPr>
                <w:rFonts w:eastAsia="Times New Roman"/>
                <w:i/>
                <w:noProof/>
                <w:szCs w:val="24"/>
                <w:u w:val="single"/>
                <w:lang w:val="en-US"/>
              </w:rPr>
            </w:pPr>
            <w:r w:rsidRPr="00B05190">
              <w:rPr>
                <w:rFonts w:eastAsia="Times New Roman"/>
                <w:i/>
                <w:noProof/>
                <w:szCs w:val="24"/>
                <w:u w:val="single"/>
                <w:lang w:val="en-US"/>
              </w:rPr>
              <w:t>SO4 : 1 project ongoing, total AMIF financing =1.700.638,15 EUR</w:t>
            </w:r>
          </w:p>
          <w:p w14:paraId="390513AD" w14:textId="77777777" w:rsidR="00B05190" w:rsidRPr="00B05190" w:rsidRDefault="00B05190" w:rsidP="00350FDA">
            <w:pPr>
              <w:spacing w:before="0" w:after="160" w:line="259" w:lineRule="auto"/>
              <w:rPr>
                <w:rFonts w:eastAsia="Calibri"/>
                <w:i/>
                <w:noProof/>
                <w:szCs w:val="24"/>
                <w:lang w:val="en-US"/>
              </w:rPr>
            </w:pPr>
            <w:r w:rsidRPr="00B05190">
              <w:rPr>
                <w:rFonts w:eastAsia="Calibri"/>
                <w:b/>
                <w:i/>
                <w:noProof/>
                <w:szCs w:val="24"/>
                <w:lang w:val="en-US"/>
              </w:rPr>
              <w:t>Resettlement programme</w:t>
            </w:r>
            <w:r w:rsidRPr="00B05190">
              <w:rPr>
                <w:rFonts w:eastAsia="Calibri"/>
                <w:i/>
                <w:noProof/>
                <w:szCs w:val="24"/>
                <w:lang w:val="en-US"/>
              </w:rPr>
              <w:t xml:space="preserve">: </w:t>
            </w:r>
          </w:p>
          <w:p w14:paraId="12D0A17A" w14:textId="77777777" w:rsidR="00B05190" w:rsidRPr="00B05190" w:rsidRDefault="00B05190" w:rsidP="00350FDA">
            <w:pPr>
              <w:numPr>
                <w:ilvl w:val="0"/>
                <w:numId w:val="41"/>
              </w:numPr>
              <w:spacing w:before="0" w:after="160" w:line="259" w:lineRule="auto"/>
              <w:contextualSpacing/>
              <w:rPr>
                <w:rFonts w:eastAsia="Calibri"/>
                <w:i/>
                <w:noProof/>
                <w:szCs w:val="24"/>
                <w:lang w:val="en-US"/>
              </w:rPr>
            </w:pPr>
            <w:r w:rsidRPr="00B05190">
              <w:rPr>
                <w:rFonts w:eastAsia="Calibri"/>
                <w:i/>
                <w:noProof/>
                <w:szCs w:val="24"/>
                <w:lang w:val="en-US"/>
              </w:rPr>
              <w:t>has been further consolidated and possibilities for complementary pathways have been explore in order to :</w:t>
            </w:r>
          </w:p>
          <w:p w14:paraId="68CF7FB0" w14:textId="77777777" w:rsidR="00B05190" w:rsidRPr="00B05190" w:rsidRDefault="00B05190" w:rsidP="00350FDA">
            <w:pPr>
              <w:numPr>
                <w:ilvl w:val="1"/>
                <w:numId w:val="41"/>
              </w:numPr>
              <w:spacing w:before="0" w:after="160" w:line="259" w:lineRule="auto"/>
              <w:contextualSpacing/>
              <w:rPr>
                <w:rFonts w:eastAsia="Calibri"/>
                <w:i/>
                <w:noProof/>
                <w:szCs w:val="24"/>
                <w:lang w:val="en-US"/>
              </w:rPr>
            </w:pPr>
            <w:r w:rsidRPr="00B05190">
              <w:rPr>
                <w:rFonts w:eastAsia="Calibri"/>
                <w:i/>
                <w:noProof/>
                <w:szCs w:val="24"/>
                <w:lang w:val="en-US"/>
              </w:rPr>
              <w:t>provide a stable and predictable framework for pledging exercises</w:t>
            </w:r>
          </w:p>
          <w:p w14:paraId="7B626FE1" w14:textId="77777777" w:rsidR="00B05190" w:rsidRPr="00B05190" w:rsidRDefault="00B05190" w:rsidP="00350FDA">
            <w:pPr>
              <w:numPr>
                <w:ilvl w:val="1"/>
                <w:numId w:val="41"/>
              </w:numPr>
              <w:spacing w:before="0" w:after="160" w:line="259" w:lineRule="auto"/>
              <w:contextualSpacing/>
              <w:rPr>
                <w:rFonts w:eastAsia="Calibri"/>
                <w:i/>
                <w:noProof/>
                <w:szCs w:val="24"/>
                <w:lang w:val="en-US"/>
              </w:rPr>
            </w:pPr>
            <w:r w:rsidRPr="00B05190">
              <w:rPr>
                <w:rFonts w:eastAsia="Calibri"/>
                <w:i/>
                <w:noProof/>
                <w:szCs w:val="24"/>
                <w:lang w:val="en-US"/>
              </w:rPr>
              <w:t xml:space="preserve">anchor national efforts in international solidarity </w:t>
            </w:r>
          </w:p>
          <w:p w14:paraId="0A6B0EFE" w14:textId="77777777" w:rsidR="00B05190" w:rsidRPr="00B05190" w:rsidRDefault="00B05190" w:rsidP="00350FDA">
            <w:pPr>
              <w:numPr>
                <w:ilvl w:val="1"/>
                <w:numId w:val="41"/>
              </w:numPr>
              <w:spacing w:before="0" w:after="160" w:line="259" w:lineRule="auto"/>
              <w:contextualSpacing/>
              <w:rPr>
                <w:rFonts w:eastAsia="Calibri"/>
                <w:i/>
                <w:noProof/>
                <w:szCs w:val="24"/>
                <w:lang w:val="en-US"/>
              </w:rPr>
            </w:pPr>
            <w:r w:rsidRPr="00B05190">
              <w:rPr>
                <w:rFonts w:eastAsia="Calibri"/>
                <w:i/>
                <w:noProof/>
                <w:szCs w:val="24"/>
                <w:lang w:val="en-US"/>
              </w:rPr>
              <w:t>diversify the admission routes for people in need of protection.</w:t>
            </w:r>
          </w:p>
          <w:p w14:paraId="482ACA50" w14:textId="77777777" w:rsidR="00B05190" w:rsidRPr="00B05190" w:rsidRDefault="00B05190" w:rsidP="00350FDA">
            <w:pPr>
              <w:numPr>
                <w:ilvl w:val="0"/>
                <w:numId w:val="41"/>
              </w:numPr>
              <w:spacing w:before="0" w:after="160" w:line="259" w:lineRule="auto"/>
              <w:contextualSpacing/>
              <w:rPr>
                <w:rFonts w:eastAsia="Calibri"/>
                <w:i/>
                <w:noProof/>
                <w:szCs w:val="24"/>
                <w:lang w:val="en-US"/>
              </w:rPr>
            </w:pPr>
            <w:r w:rsidRPr="00B05190">
              <w:rPr>
                <w:rFonts w:eastAsia="Calibri"/>
                <w:i/>
                <w:noProof/>
                <w:szCs w:val="24"/>
                <w:lang w:val="en-US"/>
              </w:rPr>
              <w:t>The cooperation with partners at national level that take up an important role of the resettlement program or other complementary pathways (f.e. local authorities) has been further developed</w:t>
            </w:r>
          </w:p>
          <w:p w14:paraId="2CA04711" w14:textId="77777777" w:rsidR="00B05190" w:rsidRPr="00B05190" w:rsidRDefault="00B05190" w:rsidP="00350FDA">
            <w:pPr>
              <w:numPr>
                <w:ilvl w:val="0"/>
                <w:numId w:val="41"/>
              </w:numPr>
              <w:spacing w:before="0" w:after="160" w:line="259" w:lineRule="auto"/>
              <w:contextualSpacing/>
              <w:rPr>
                <w:rFonts w:eastAsia="Calibri"/>
                <w:i/>
                <w:noProof/>
                <w:szCs w:val="24"/>
                <w:lang w:val="en-US"/>
              </w:rPr>
            </w:pPr>
            <w:r w:rsidRPr="00B05190">
              <w:rPr>
                <w:rFonts w:eastAsia="Calibri"/>
                <w:i/>
                <w:noProof/>
                <w:szCs w:val="24"/>
                <w:lang w:val="en-US"/>
              </w:rPr>
              <w:t>Belgian expertise acquired over the years has been shared with other States</w:t>
            </w:r>
          </w:p>
          <w:p w14:paraId="1BD30F26" w14:textId="77777777" w:rsidR="00B05190" w:rsidRPr="00B05190" w:rsidRDefault="00B05190" w:rsidP="00350FDA">
            <w:pPr>
              <w:pStyle w:val="Titre2"/>
              <w:outlineLvl w:val="1"/>
              <w:rPr>
                <w:rFonts w:eastAsia="Times New Roman"/>
                <w:noProof/>
                <w:lang w:val="en-US"/>
              </w:rPr>
            </w:pPr>
            <w:r w:rsidRPr="00B05190">
              <w:rPr>
                <w:rFonts w:eastAsia="Times New Roman"/>
                <w:noProof/>
                <w:lang w:val="en-US"/>
              </w:rPr>
              <w:t>Issues affecting performance – Article 35(2), point (b), of Regulation (EU) 2021/1147</w:t>
            </w:r>
          </w:p>
          <w:p w14:paraId="0AF8F295" w14:textId="77777777" w:rsidR="00B05190" w:rsidRPr="00B05190" w:rsidRDefault="00B05190" w:rsidP="00350FDA">
            <w:pPr>
              <w:spacing w:before="0" w:after="160" w:line="259" w:lineRule="auto"/>
              <w:rPr>
                <w:rFonts w:eastAsia="Calibri"/>
                <w:i/>
                <w:noProof/>
                <w:szCs w:val="24"/>
                <w:lang w:val="en-US"/>
              </w:rPr>
            </w:pPr>
            <w:r w:rsidRPr="00B05190">
              <w:rPr>
                <w:rFonts w:eastAsia="Calibri"/>
                <w:i/>
                <w:noProof/>
                <w:szCs w:val="24"/>
                <w:lang w:val="en-US"/>
              </w:rPr>
              <w:t xml:space="preserve">Main obstacle affecting the performance of projects under all SO was the late approval of projects. Projects only received grant agreements in December 2022 / January 2023. This caused delay with regard to the start of the projects (hiring staff / starting public procurement procedures). </w:t>
            </w:r>
          </w:p>
          <w:p w14:paraId="0B7F0670" w14:textId="77777777" w:rsidR="00B05190" w:rsidRPr="00B05190" w:rsidRDefault="00B05190" w:rsidP="00350FDA">
            <w:pPr>
              <w:spacing w:before="0" w:after="160" w:line="259" w:lineRule="auto"/>
              <w:rPr>
                <w:rFonts w:eastAsia="Calibri"/>
                <w:i/>
                <w:noProof/>
                <w:szCs w:val="24"/>
                <w:lang w:val="en-US"/>
              </w:rPr>
            </w:pPr>
            <w:r w:rsidRPr="00B05190">
              <w:rPr>
                <w:rFonts w:eastAsia="Calibri"/>
                <w:i/>
                <w:noProof/>
                <w:szCs w:val="24"/>
                <w:lang w:val="en-US"/>
              </w:rPr>
              <w:t>In addition, the war in Ukraine has led to the arrival of many unaccompanied minors and has shifted the focus of attention, delaying some of SO1's activities.</w:t>
            </w:r>
          </w:p>
          <w:p w14:paraId="2326B508" w14:textId="77777777" w:rsidR="00B05190" w:rsidRPr="00B05190" w:rsidRDefault="00B05190" w:rsidP="00350FDA">
            <w:pPr>
              <w:spacing w:before="0" w:after="160" w:line="259" w:lineRule="auto"/>
              <w:rPr>
                <w:rFonts w:eastAsia="Calibri"/>
                <w:i/>
                <w:noProof/>
                <w:szCs w:val="24"/>
                <w:lang w:val="en-US"/>
              </w:rPr>
            </w:pPr>
            <w:r w:rsidRPr="00B05190">
              <w:rPr>
                <w:rFonts w:eastAsia="Calibri"/>
                <w:i/>
                <w:noProof/>
                <w:szCs w:val="24"/>
                <w:lang w:val="en-US"/>
              </w:rPr>
              <w:t>More specifically:</w:t>
            </w:r>
          </w:p>
          <w:p w14:paraId="1EFBAC2E" w14:textId="77777777" w:rsidR="00B05190" w:rsidRPr="00B05190" w:rsidRDefault="00B05190" w:rsidP="00350FDA">
            <w:pPr>
              <w:numPr>
                <w:ilvl w:val="0"/>
                <w:numId w:val="43"/>
              </w:numPr>
              <w:spacing w:before="0" w:after="160" w:line="259" w:lineRule="auto"/>
              <w:contextualSpacing/>
              <w:rPr>
                <w:rFonts w:eastAsia="Calibri"/>
                <w:i/>
                <w:noProof/>
                <w:szCs w:val="24"/>
                <w:lang w:val="en-US"/>
              </w:rPr>
            </w:pPr>
            <w:r w:rsidRPr="00B05190">
              <w:rPr>
                <w:rFonts w:eastAsia="Calibri"/>
                <w:i/>
                <w:noProof/>
                <w:szCs w:val="24"/>
                <w:lang w:val="en-US"/>
              </w:rPr>
              <w:t xml:space="preserve">For </w:t>
            </w:r>
            <w:r w:rsidRPr="00B05190">
              <w:rPr>
                <w:rFonts w:eastAsia="Calibri"/>
                <w:b/>
                <w:i/>
                <w:noProof/>
                <w:szCs w:val="24"/>
                <w:lang w:val="en-US"/>
              </w:rPr>
              <w:t>SO2 integration projects</w:t>
            </w:r>
            <w:r w:rsidRPr="00B05190">
              <w:rPr>
                <w:rFonts w:eastAsia="Calibri"/>
                <w:i/>
                <w:noProof/>
                <w:szCs w:val="24"/>
                <w:lang w:val="en-US"/>
              </w:rPr>
              <w:t xml:space="preserve"> with a primary target group, beneficiaries have had difficulty collecting all the information required to measure the satisfaction of all participants, we are thinking in particular of the indicator AMIF-SO2-9 'Number of participants who report that the activity was helpful for their integration'.</w:t>
            </w:r>
          </w:p>
          <w:p w14:paraId="380923FF" w14:textId="77777777" w:rsidR="00B05190" w:rsidRPr="00B05190" w:rsidRDefault="00B05190" w:rsidP="00350FDA">
            <w:pPr>
              <w:numPr>
                <w:ilvl w:val="0"/>
                <w:numId w:val="42"/>
              </w:numPr>
              <w:spacing w:before="0" w:after="160" w:line="259" w:lineRule="auto"/>
              <w:contextualSpacing/>
              <w:rPr>
                <w:rFonts w:eastAsia="Calibri"/>
                <w:i/>
                <w:noProof/>
                <w:szCs w:val="24"/>
                <w:lang w:val="en-US"/>
              </w:rPr>
            </w:pPr>
            <w:r w:rsidRPr="00B05190">
              <w:rPr>
                <w:rFonts w:eastAsia="Calibri"/>
                <w:i/>
                <w:noProof/>
                <w:szCs w:val="24"/>
                <w:lang w:val="en-US"/>
              </w:rPr>
              <w:t xml:space="preserve">For </w:t>
            </w:r>
            <w:r w:rsidRPr="00B05190">
              <w:rPr>
                <w:rFonts w:eastAsia="Calibri"/>
                <w:b/>
                <w:i/>
                <w:noProof/>
                <w:szCs w:val="24"/>
                <w:lang w:val="en-US"/>
              </w:rPr>
              <w:t>SO4 projects :</w:t>
            </w:r>
          </w:p>
          <w:p w14:paraId="51B6CBD2" w14:textId="77777777" w:rsidR="00B05190" w:rsidRPr="00B05190" w:rsidRDefault="00B05190" w:rsidP="00350FDA">
            <w:pPr>
              <w:numPr>
                <w:ilvl w:val="1"/>
                <w:numId w:val="42"/>
              </w:numPr>
              <w:spacing w:before="0" w:after="160" w:line="259" w:lineRule="auto"/>
              <w:contextualSpacing/>
              <w:rPr>
                <w:rFonts w:eastAsia="Calibri"/>
                <w:i/>
                <w:noProof/>
                <w:szCs w:val="24"/>
                <w:lang w:val="en-US"/>
              </w:rPr>
            </w:pPr>
            <w:r w:rsidRPr="00B05190">
              <w:rPr>
                <w:rFonts w:eastAsia="Calibri"/>
                <w:i/>
                <w:noProof/>
                <w:szCs w:val="24"/>
                <w:lang w:val="en-US"/>
              </w:rPr>
              <w:t>The further spill-over of the Ukraine crisis and the pressure this puts on local cities and municipalities</w:t>
            </w:r>
          </w:p>
          <w:p w14:paraId="6CB61D7D" w14:textId="77777777" w:rsidR="00B05190" w:rsidRPr="00B05190" w:rsidRDefault="00B05190" w:rsidP="00350FDA">
            <w:pPr>
              <w:numPr>
                <w:ilvl w:val="1"/>
                <w:numId w:val="42"/>
              </w:numPr>
              <w:spacing w:before="0" w:after="160" w:line="259" w:lineRule="auto"/>
              <w:contextualSpacing/>
              <w:rPr>
                <w:rFonts w:eastAsia="Calibri"/>
                <w:i/>
                <w:noProof/>
                <w:szCs w:val="24"/>
                <w:lang w:val="en-US"/>
              </w:rPr>
            </w:pPr>
            <w:r w:rsidRPr="00B05190">
              <w:rPr>
                <w:rFonts w:eastAsia="Calibri"/>
                <w:i/>
                <w:noProof/>
                <w:szCs w:val="24"/>
                <w:lang w:val="en-US"/>
              </w:rPr>
              <w:t>Pressure on our reception network</w:t>
            </w:r>
          </w:p>
          <w:p w14:paraId="21963B53" w14:textId="77777777" w:rsidR="00B05190" w:rsidRPr="00B05190" w:rsidRDefault="00B05190" w:rsidP="00350FDA">
            <w:pPr>
              <w:pStyle w:val="Titre2"/>
              <w:outlineLvl w:val="1"/>
              <w:rPr>
                <w:rFonts w:eastAsia="Times New Roman"/>
                <w:noProof/>
                <w:lang w:val="en-US"/>
              </w:rPr>
            </w:pPr>
            <w:r w:rsidRPr="00B05190">
              <w:rPr>
                <w:rFonts w:eastAsia="Times New Roman"/>
                <w:noProof/>
                <w:lang w:val="en-US"/>
              </w:rPr>
              <w:t>Specific mitigation measures</w:t>
            </w:r>
          </w:p>
          <w:p w14:paraId="1B6E9CD2" w14:textId="77777777" w:rsidR="00B05190" w:rsidRPr="00B05190" w:rsidRDefault="00B05190" w:rsidP="00350FDA">
            <w:pPr>
              <w:spacing w:before="0" w:after="160" w:line="259" w:lineRule="auto"/>
              <w:rPr>
                <w:rFonts w:eastAsia="Calibri"/>
                <w:i/>
                <w:noProof/>
                <w:szCs w:val="24"/>
                <w:lang w:val="en-US"/>
              </w:rPr>
            </w:pPr>
            <w:r w:rsidRPr="00B05190">
              <w:rPr>
                <w:rFonts w:eastAsia="Calibri"/>
                <w:i/>
                <w:noProof/>
                <w:szCs w:val="24"/>
                <w:lang w:val="en-US"/>
              </w:rPr>
              <w:t>Not applicable</w:t>
            </w:r>
          </w:p>
          <w:p w14:paraId="7D82EA92" w14:textId="77777777" w:rsidR="00B05190" w:rsidRPr="00B05190" w:rsidRDefault="00B05190" w:rsidP="00350FDA">
            <w:pPr>
              <w:pStyle w:val="Titre2"/>
              <w:outlineLvl w:val="1"/>
              <w:rPr>
                <w:rFonts w:eastAsia="Times New Roman"/>
                <w:noProof/>
                <w:lang w:val="en-US"/>
              </w:rPr>
            </w:pPr>
            <w:r w:rsidRPr="00B05190">
              <w:rPr>
                <w:rFonts w:eastAsia="Times New Roman"/>
                <w:noProof/>
                <w:lang w:val="en-US"/>
              </w:rPr>
              <w:lastRenderedPageBreak/>
              <w:t>Operating support – Article 21(3) of Regulation (EU) 2021/1147</w:t>
            </w:r>
          </w:p>
          <w:p w14:paraId="226DCB6B" w14:textId="77777777" w:rsidR="00B05190" w:rsidRPr="00B05190" w:rsidRDefault="00B05190" w:rsidP="00350FDA">
            <w:pPr>
              <w:numPr>
                <w:ilvl w:val="0"/>
                <w:numId w:val="42"/>
              </w:numPr>
              <w:spacing w:before="0" w:after="160" w:line="259" w:lineRule="auto"/>
              <w:contextualSpacing/>
              <w:rPr>
                <w:rFonts w:eastAsia="Calibri"/>
                <w:i/>
                <w:noProof/>
                <w:szCs w:val="24"/>
                <w:lang w:val="en-US"/>
              </w:rPr>
            </w:pPr>
            <w:r w:rsidRPr="00B05190">
              <w:rPr>
                <w:rFonts w:eastAsia="Calibri"/>
                <w:b/>
                <w:i/>
                <w:noProof/>
                <w:szCs w:val="24"/>
                <w:lang w:val="en-US"/>
              </w:rPr>
              <w:t>Under SO1</w:t>
            </w:r>
            <w:r w:rsidRPr="00B05190">
              <w:rPr>
                <w:rFonts w:eastAsia="Calibri"/>
                <w:i/>
                <w:noProof/>
                <w:szCs w:val="24"/>
                <w:lang w:val="en-US"/>
              </w:rPr>
              <w:t xml:space="preserve"> an operating support project (868.667,07 EUR) has been selected with the aim to produce statistics on international protection to meet European obligations (mainly Eurostat, EASO and Frontex). </w:t>
            </w:r>
          </w:p>
          <w:p w14:paraId="69217C65" w14:textId="77777777" w:rsidR="00B05190" w:rsidRPr="00B05190" w:rsidRDefault="00B05190" w:rsidP="00350FDA">
            <w:pPr>
              <w:numPr>
                <w:ilvl w:val="0"/>
                <w:numId w:val="42"/>
              </w:numPr>
              <w:spacing w:before="0" w:after="160" w:line="259" w:lineRule="auto"/>
              <w:contextualSpacing/>
              <w:rPr>
                <w:rFonts w:eastAsia="Calibri"/>
                <w:i/>
                <w:noProof/>
                <w:szCs w:val="24"/>
                <w:lang w:val="en-US"/>
              </w:rPr>
            </w:pPr>
            <w:r w:rsidRPr="00B05190">
              <w:rPr>
                <w:rFonts w:eastAsia="Calibri"/>
                <w:b/>
                <w:i/>
                <w:noProof/>
                <w:szCs w:val="24"/>
                <w:lang w:val="en-US"/>
              </w:rPr>
              <w:t>Under SO3</w:t>
            </w:r>
            <w:r w:rsidRPr="00B05190">
              <w:rPr>
                <w:rFonts w:eastAsia="Calibri"/>
                <w:i/>
                <w:noProof/>
                <w:szCs w:val="24"/>
                <w:lang w:val="en-US"/>
              </w:rPr>
              <w:t xml:space="preserve"> an operating support project has been awarded to the General Inspectorate of the Federal Police (AIG) through a direct award with the total amount of 1,499,999.22 EUR. The AIG has been nominated as the only responsible body for execution and monitoring of forced returns in Belgium (Royal Decree 19/06/2012). As such, the AIG is responsible for the implementation of the Return Directive 2008/115/EC. In this respect, the AIG has carried out several activities during the reporting period. The main obstacle was the delay in hiring staff due to the timing of grant agreements (December 2022/January 2023), which has limited the capacities in monitoring of returns.</w:t>
            </w:r>
          </w:p>
          <w:p w14:paraId="44AE1531" w14:textId="77777777" w:rsidR="00B05190" w:rsidRPr="00B05190" w:rsidRDefault="00B05190" w:rsidP="00350FDA">
            <w:pPr>
              <w:pStyle w:val="Titre2"/>
              <w:outlineLvl w:val="1"/>
              <w:rPr>
                <w:rFonts w:eastAsia="Times New Roman"/>
                <w:noProof/>
                <w:lang w:val="en-US"/>
              </w:rPr>
            </w:pPr>
            <w:r w:rsidRPr="00B05190">
              <w:rPr>
                <w:rFonts w:eastAsia="Times New Roman"/>
                <w:noProof/>
                <w:lang w:val="en-US"/>
              </w:rPr>
              <w:t>Specific actions</w:t>
            </w:r>
          </w:p>
          <w:p w14:paraId="656FE538" w14:textId="3C6D2745" w:rsidR="00B05190" w:rsidRPr="00B05190" w:rsidRDefault="00B05190" w:rsidP="00350FDA">
            <w:pPr>
              <w:spacing w:before="0" w:after="160" w:line="259" w:lineRule="auto"/>
              <w:rPr>
                <w:rFonts w:eastAsia="Calibri"/>
                <w:i/>
                <w:noProof/>
                <w:szCs w:val="24"/>
                <w:lang w:val="en-US"/>
              </w:rPr>
            </w:pPr>
            <w:r w:rsidRPr="00B05190">
              <w:rPr>
                <w:rFonts w:eastAsia="Calibri"/>
                <w:i/>
                <w:noProof/>
                <w:szCs w:val="24"/>
                <w:lang w:val="en-US"/>
              </w:rPr>
              <w:t xml:space="preserve">During the reference period, </w:t>
            </w:r>
            <w:r w:rsidRPr="00B05190">
              <w:rPr>
                <w:rFonts w:eastAsia="Calibri"/>
                <w:b/>
                <w:i/>
                <w:noProof/>
                <w:szCs w:val="24"/>
                <w:lang w:val="en-US"/>
              </w:rPr>
              <w:t>one Specific Action</w:t>
            </w:r>
            <w:r w:rsidRPr="00B05190">
              <w:rPr>
                <w:rFonts w:eastAsia="Calibri"/>
                <w:i/>
                <w:noProof/>
                <w:szCs w:val="24"/>
                <w:lang w:val="en-US"/>
              </w:rPr>
              <w:t xml:space="preserve"> was selected and launched : </w:t>
            </w:r>
            <w:r w:rsidRPr="00590E8A">
              <w:rPr>
                <w:rFonts w:eastAsia="Calibri"/>
                <w:i/>
                <w:noProof/>
                <w:szCs w:val="24"/>
                <w:lang w:val="en-US"/>
              </w:rPr>
              <w:t>Projet</w:t>
            </w:r>
            <w:r w:rsidRPr="00B05190">
              <w:rPr>
                <w:rFonts w:eastAsia="Calibri"/>
                <w:b/>
                <w:i/>
                <w:noProof/>
                <w:szCs w:val="24"/>
                <w:lang w:val="en-US"/>
              </w:rPr>
              <w:t xml:space="preserve"> “VONA” </w:t>
            </w:r>
            <w:r w:rsidRPr="00B05190">
              <w:rPr>
                <w:rFonts w:eastAsia="Calibri"/>
                <w:i/>
                <w:noProof/>
                <w:szCs w:val="24"/>
                <w:lang w:val="en-US"/>
              </w:rPr>
              <w:t>(AMIF/2022/SA/2.4.1_001). During the reference period actions have been taken in all three thrusts it’s articulated around : staff training, gender sensitive capacity building and direct assistance.</w:t>
            </w:r>
          </w:p>
          <w:p w14:paraId="10B98F2E" w14:textId="77777777" w:rsidR="00B05190" w:rsidRPr="00B05190" w:rsidRDefault="00B05190" w:rsidP="00350FDA">
            <w:pPr>
              <w:spacing w:before="0" w:after="160" w:line="259" w:lineRule="auto"/>
              <w:rPr>
                <w:rFonts w:eastAsia="Calibri"/>
                <w:i/>
                <w:noProof/>
                <w:szCs w:val="24"/>
                <w:lang w:val="en-US"/>
              </w:rPr>
            </w:pPr>
            <w:r w:rsidRPr="00B05190">
              <w:rPr>
                <w:rFonts w:eastAsia="Calibri"/>
                <w:i/>
                <w:noProof/>
                <w:szCs w:val="24"/>
                <w:lang w:val="en-US"/>
              </w:rPr>
              <w:t>The beneficiary reported as an obstacle to the implementation of the project:</w:t>
            </w:r>
          </w:p>
          <w:p w14:paraId="39B69886" w14:textId="77777777" w:rsidR="00B05190" w:rsidRPr="00B05190" w:rsidRDefault="00B05190" w:rsidP="00350FDA">
            <w:pPr>
              <w:numPr>
                <w:ilvl w:val="1"/>
                <w:numId w:val="44"/>
              </w:numPr>
              <w:spacing w:before="0" w:after="160" w:line="259" w:lineRule="auto"/>
              <w:contextualSpacing/>
              <w:rPr>
                <w:rFonts w:eastAsia="Calibri"/>
                <w:i/>
                <w:noProof/>
                <w:szCs w:val="24"/>
                <w:lang w:val="en-US"/>
              </w:rPr>
            </w:pPr>
            <w:r w:rsidRPr="00B05190">
              <w:rPr>
                <w:rFonts w:eastAsia="Calibri"/>
                <w:i/>
                <w:noProof/>
                <w:szCs w:val="24"/>
                <w:lang w:val="en-US"/>
              </w:rPr>
              <w:t>the difficulty to recruit and  retain suitably qualified and experienced staff members</w:t>
            </w:r>
          </w:p>
          <w:p w14:paraId="2D062B17" w14:textId="77777777" w:rsidR="00B05190" w:rsidRPr="00B05190" w:rsidRDefault="00B05190" w:rsidP="00350FDA">
            <w:pPr>
              <w:numPr>
                <w:ilvl w:val="1"/>
                <w:numId w:val="44"/>
              </w:numPr>
              <w:spacing w:before="0" w:after="160" w:line="259" w:lineRule="auto"/>
              <w:contextualSpacing/>
              <w:rPr>
                <w:rFonts w:eastAsia="Calibri"/>
                <w:i/>
                <w:noProof/>
                <w:szCs w:val="24"/>
                <w:lang w:val="en-US"/>
              </w:rPr>
            </w:pPr>
            <w:r w:rsidRPr="00B05190">
              <w:rPr>
                <w:rFonts w:eastAsia="Calibri"/>
                <w:i/>
                <w:noProof/>
                <w:szCs w:val="24"/>
                <w:lang w:val="en-US"/>
              </w:rPr>
              <w:t>the tendency of some clients to refuse mental health assitance because of negative conceptions</w:t>
            </w:r>
          </w:p>
          <w:p w14:paraId="60AFE619" w14:textId="77777777" w:rsidR="00B05190" w:rsidRPr="00B05190" w:rsidRDefault="00B05190" w:rsidP="00350FDA">
            <w:pPr>
              <w:pStyle w:val="Titre2"/>
              <w:outlineLvl w:val="1"/>
              <w:rPr>
                <w:rFonts w:eastAsia="Times New Roman"/>
                <w:noProof/>
                <w:lang w:val="en-US"/>
              </w:rPr>
            </w:pPr>
            <w:r w:rsidRPr="00B05190">
              <w:rPr>
                <w:rFonts w:eastAsia="Times New Roman"/>
                <w:noProof/>
                <w:lang w:val="en-US"/>
              </w:rPr>
              <w:t>Resettlement and relocation – Article 35(2), points (g) and (h), of Regulation (EU) 2021/1147</w:t>
            </w:r>
          </w:p>
          <w:p w14:paraId="571B37A1" w14:textId="6A982000" w:rsidR="00B05190" w:rsidRPr="00B05190" w:rsidRDefault="00792913" w:rsidP="00350FDA">
            <w:pPr>
              <w:spacing w:before="0" w:after="160" w:line="259" w:lineRule="auto"/>
              <w:rPr>
                <w:rFonts w:eastAsia="Calibri"/>
                <w:i/>
                <w:noProof/>
                <w:szCs w:val="24"/>
                <w:lang w:val="en-US"/>
              </w:rPr>
            </w:pPr>
            <w:r>
              <w:rPr>
                <w:rFonts w:eastAsia="Calibri"/>
                <w:i/>
                <w:noProof/>
                <w:szCs w:val="24"/>
                <w:lang w:val="en-US"/>
              </w:rPr>
              <w:t>96 persons resettled, 37 admitted (vulnerable) and 6 relocated (only controlled persones are reported)</w:t>
            </w:r>
            <w:r w:rsidR="00B05190" w:rsidRPr="00B05190">
              <w:rPr>
                <w:rFonts w:eastAsia="Calibri"/>
                <w:i/>
                <w:noProof/>
                <w:szCs w:val="24"/>
                <w:lang w:val="en-US"/>
              </w:rPr>
              <w:t>.</w:t>
            </w:r>
          </w:p>
          <w:p w14:paraId="4A320091" w14:textId="77777777" w:rsidR="00B05190" w:rsidRPr="00B05190" w:rsidRDefault="00B05190" w:rsidP="00350FDA">
            <w:pPr>
              <w:pStyle w:val="Titre2"/>
              <w:outlineLvl w:val="1"/>
              <w:rPr>
                <w:rFonts w:eastAsia="Times New Roman"/>
                <w:noProof/>
                <w:lang w:val="en-US"/>
              </w:rPr>
            </w:pPr>
            <w:r w:rsidRPr="00B05190">
              <w:rPr>
                <w:rFonts w:eastAsia="Times New Roman"/>
                <w:noProof/>
                <w:lang w:val="en-US"/>
              </w:rPr>
              <w:t>Only in 2024: Continuation of projects – Article 39(4), point (e), of Regulation (EU) 2021/1147</w:t>
            </w:r>
          </w:p>
          <w:p w14:paraId="7B4C95C9" w14:textId="77777777" w:rsidR="00B05190" w:rsidRPr="00B05190" w:rsidRDefault="00B05190" w:rsidP="00350FDA">
            <w:pPr>
              <w:spacing w:before="0" w:after="160" w:line="259" w:lineRule="auto"/>
              <w:rPr>
                <w:rFonts w:eastAsia="Calibri"/>
                <w:i/>
                <w:noProof/>
                <w:szCs w:val="24"/>
                <w:lang w:val="en-US"/>
              </w:rPr>
            </w:pPr>
            <w:r w:rsidRPr="00B05190">
              <w:rPr>
                <w:rFonts w:eastAsia="Calibri"/>
                <w:i/>
                <w:noProof/>
                <w:szCs w:val="24"/>
                <w:lang w:val="en-US"/>
              </w:rPr>
              <w:t>Not applicable.</w:t>
            </w:r>
          </w:p>
          <w:p w14:paraId="441B3B6D" w14:textId="77777777" w:rsidR="00B05190" w:rsidRPr="00B05190" w:rsidRDefault="00B05190" w:rsidP="00350FDA">
            <w:pPr>
              <w:pStyle w:val="Titre1"/>
              <w:outlineLvl w:val="0"/>
              <w:rPr>
                <w:rFonts w:eastAsia="Times New Roman"/>
                <w:noProof/>
                <w:lang w:val="en-US"/>
              </w:rPr>
            </w:pPr>
            <w:r w:rsidRPr="00B05190">
              <w:rPr>
                <w:rFonts w:eastAsia="Times New Roman"/>
                <w:noProof/>
                <w:lang w:val="en-US"/>
              </w:rPr>
              <w:t>COMPLEMENTARITY – ARTICLE 35(2), POINT (C), OF REGULATION (EU) 2021/1147</w:t>
            </w:r>
          </w:p>
          <w:p w14:paraId="63C3A4BB" w14:textId="77777777" w:rsidR="00B05190" w:rsidRPr="00B05190" w:rsidRDefault="00B05190" w:rsidP="00350FDA">
            <w:pPr>
              <w:numPr>
                <w:ilvl w:val="0"/>
                <w:numId w:val="45"/>
              </w:numPr>
              <w:spacing w:before="0" w:after="160" w:line="259" w:lineRule="auto"/>
              <w:contextualSpacing/>
              <w:rPr>
                <w:rFonts w:eastAsia="Calibri"/>
                <w:i/>
                <w:noProof/>
                <w:szCs w:val="24"/>
                <w:lang w:val="en-US"/>
              </w:rPr>
            </w:pPr>
            <w:r w:rsidRPr="00B05190">
              <w:rPr>
                <w:rFonts w:eastAsia="Calibri"/>
                <w:i/>
                <w:noProof/>
                <w:szCs w:val="24"/>
                <w:lang w:val="en-US"/>
              </w:rPr>
              <w:t>Consultations are regularly organised within our Steering Committee and Monitoring Committee where representatives of the cabinets are present.</w:t>
            </w:r>
          </w:p>
          <w:p w14:paraId="67B187DA" w14:textId="21748F3C" w:rsidR="00F35331" w:rsidRDefault="00B05190" w:rsidP="00350FDA">
            <w:pPr>
              <w:numPr>
                <w:ilvl w:val="0"/>
                <w:numId w:val="45"/>
              </w:numPr>
              <w:spacing w:before="0" w:after="160" w:line="259" w:lineRule="auto"/>
              <w:contextualSpacing/>
              <w:rPr>
                <w:rFonts w:eastAsia="Calibri"/>
                <w:i/>
                <w:noProof/>
                <w:szCs w:val="24"/>
                <w:lang w:val="en-US"/>
              </w:rPr>
            </w:pPr>
            <w:r w:rsidRPr="00B05190">
              <w:rPr>
                <w:rFonts w:eastAsia="Calibri"/>
                <w:i/>
                <w:noProof/>
                <w:szCs w:val="24"/>
                <w:lang w:val="en-US"/>
              </w:rPr>
              <w:t xml:space="preserve">A coordination mechanism has been set up with the Intermediary Bodies (Flanders and the Wallonia-Brussels Federation) </w:t>
            </w:r>
          </w:p>
          <w:p w14:paraId="6393757E" w14:textId="6CA02F5A" w:rsidR="00B05190" w:rsidRPr="00B05190" w:rsidRDefault="00F35331" w:rsidP="00350FDA">
            <w:pPr>
              <w:numPr>
                <w:ilvl w:val="0"/>
                <w:numId w:val="45"/>
              </w:numPr>
              <w:spacing w:before="0" w:after="160" w:line="259" w:lineRule="auto"/>
              <w:contextualSpacing/>
              <w:rPr>
                <w:rFonts w:eastAsia="Calibri"/>
                <w:i/>
                <w:noProof/>
                <w:szCs w:val="24"/>
                <w:lang w:val="en-US"/>
              </w:rPr>
            </w:pPr>
            <w:r>
              <w:rPr>
                <w:rFonts w:eastAsia="Calibri"/>
                <w:i/>
                <w:noProof/>
                <w:szCs w:val="24"/>
                <w:lang w:val="en-US"/>
              </w:rPr>
              <w:t>At the level of the Intermdediate Bodies</w:t>
            </w:r>
            <w:r w:rsidR="0080791F">
              <w:rPr>
                <w:rFonts w:eastAsia="Calibri"/>
                <w:i/>
                <w:noProof/>
                <w:szCs w:val="24"/>
                <w:lang w:val="en-US"/>
              </w:rPr>
              <w:t xml:space="preserve"> </w:t>
            </w:r>
            <w:r w:rsidR="00B05190" w:rsidRPr="00B05190">
              <w:rPr>
                <w:rFonts w:eastAsia="Calibri"/>
                <w:i/>
                <w:noProof/>
                <w:szCs w:val="24"/>
                <w:lang w:val="en-US"/>
              </w:rPr>
              <w:t>comple</w:t>
            </w:r>
            <w:r>
              <w:rPr>
                <w:rFonts w:eastAsia="Calibri"/>
                <w:i/>
                <w:noProof/>
                <w:szCs w:val="24"/>
                <w:lang w:val="en-US"/>
              </w:rPr>
              <w:t xml:space="preserve">mentarity and good coordination is </w:t>
            </w:r>
            <w:r w:rsidRPr="00B05190">
              <w:rPr>
                <w:rFonts w:eastAsia="Calibri"/>
                <w:i/>
                <w:noProof/>
                <w:szCs w:val="24"/>
                <w:lang w:val="en-US"/>
              </w:rPr>
              <w:t>ensure</w:t>
            </w:r>
            <w:r>
              <w:rPr>
                <w:rFonts w:eastAsia="Calibri"/>
                <w:i/>
                <w:noProof/>
                <w:szCs w:val="24"/>
                <w:lang w:val="en-US"/>
              </w:rPr>
              <w:t>d</w:t>
            </w:r>
            <w:r w:rsidRPr="00B05190">
              <w:rPr>
                <w:rFonts w:eastAsia="Calibri"/>
                <w:i/>
                <w:noProof/>
                <w:szCs w:val="24"/>
                <w:lang w:val="en-US"/>
              </w:rPr>
              <w:t xml:space="preserve"> </w:t>
            </w:r>
            <w:r w:rsidR="00B05190" w:rsidRPr="00B05190">
              <w:rPr>
                <w:rFonts w:eastAsia="Calibri"/>
                <w:i/>
                <w:noProof/>
                <w:szCs w:val="24"/>
                <w:lang w:val="en-US"/>
              </w:rPr>
              <w:t>between AMIF and ESF+</w:t>
            </w:r>
            <w:r>
              <w:rPr>
                <w:rFonts w:eastAsia="Calibri"/>
                <w:i/>
                <w:noProof/>
                <w:szCs w:val="24"/>
                <w:lang w:val="en-US"/>
              </w:rPr>
              <w:t>, as they are</w:t>
            </w:r>
            <w:r w:rsidRPr="00B05190">
              <w:rPr>
                <w:rFonts w:eastAsia="Calibri"/>
                <w:i/>
                <w:noProof/>
                <w:szCs w:val="24"/>
                <w:lang w:val="en-US"/>
              </w:rPr>
              <w:t xml:space="preserve"> the ESF+ Managing Authorities</w:t>
            </w:r>
          </w:p>
          <w:p w14:paraId="2B0F61A1" w14:textId="77777777" w:rsidR="00B05190" w:rsidRPr="00B05190" w:rsidRDefault="00B05190" w:rsidP="00350FDA">
            <w:pPr>
              <w:pStyle w:val="Titre1"/>
              <w:outlineLvl w:val="0"/>
              <w:rPr>
                <w:rFonts w:eastAsia="Times New Roman"/>
                <w:noProof/>
                <w:lang w:val="en-US"/>
              </w:rPr>
            </w:pPr>
            <w:r w:rsidRPr="00B05190">
              <w:rPr>
                <w:rFonts w:eastAsia="Times New Roman"/>
                <w:noProof/>
                <w:lang w:val="en-US"/>
              </w:rPr>
              <w:lastRenderedPageBreak/>
              <w:t>IMPLEMENTATION OF THE UNION ACQUIS, COOPERATION AND SOLIDARITY – ARTICLE 35(2), POINT (D), OF REGULATION (EU) 2021/1147</w:t>
            </w:r>
          </w:p>
          <w:p w14:paraId="082124D3" w14:textId="77777777" w:rsidR="00B05190" w:rsidRPr="00B05190" w:rsidRDefault="00B05190" w:rsidP="00350FDA">
            <w:pPr>
              <w:numPr>
                <w:ilvl w:val="0"/>
                <w:numId w:val="46"/>
              </w:numPr>
              <w:spacing w:before="0" w:after="160" w:line="259" w:lineRule="auto"/>
              <w:contextualSpacing/>
              <w:rPr>
                <w:rFonts w:eastAsia="Calibri"/>
                <w:i/>
                <w:noProof/>
                <w:szCs w:val="24"/>
                <w:lang w:val="en-US"/>
              </w:rPr>
            </w:pPr>
            <w:r w:rsidRPr="00B05190">
              <w:rPr>
                <w:rFonts w:eastAsia="Calibri"/>
                <w:b/>
                <w:i/>
                <w:noProof/>
                <w:szCs w:val="24"/>
                <w:lang w:val="en-US"/>
              </w:rPr>
              <w:t>In the area of asile</w:t>
            </w:r>
            <w:r w:rsidRPr="00B05190">
              <w:rPr>
                <w:rFonts w:eastAsia="Calibri"/>
                <w:i/>
                <w:noProof/>
                <w:szCs w:val="24"/>
                <w:lang w:val="en-US"/>
              </w:rPr>
              <w:t>:</w:t>
            </w:r>
          </w:p>
          <w:p w14:paraId="7A8E6321" w14:textId="77777777" w:rsidR="00B05190" w:rsidRPr="00B05190" w:rsidRDefault="00B05190" w:rsidP="00350FDA">
            <w:pPr>
              <w:numPr>
                <w:ilvl w:val="1"/>
                <w:numId w:val="46"/>
              </w:numPr>
              <w:spacing w:before="0" w:after="160" w:line="259" w:lineRule="auto"/>
              <w:contextualSpacing/>
              <w:rPr>
                <w:rFonts w:eastAsia="Calibri"/>
                <w:i/>
                <w:noProof/>
                <w:szCs w:val="24"/>
                <w:lang w:val="en-US"/>
              </w:rPr>
            </w:pPr>
            <w:r w:rsidRPr="00B05190">
              <w:rPr>
                <w:rFonts w:eastAsia="Calibri"/>
                <w:i/>
                <w:noProof/>
                <w:szCs w:val="24"/>
                <w:lang w:val="en-US"/>
              </w:rPr>
              <w:t>one project has as goal to actively support the activities of EASO/EUAA</w:t>
            </w:r>
          </w:p>
          <w:p w14:paraId="437DD6D5" w14:textId="77777777" w:rsidR="00B05190" w:rsidRPr="00B05190" w:rsidRDefault="00B05190" w:rsidP="00350FDA">
            <w:pPr>
              <w:numPr>
                <w:ilvl w:val="1"/>
                <w:numId w:val="46"/>
              </w:numPr>
              <w:spacing w:before="0" w:after="160" w:line="259" w:lineRule="auto"/>
              <w:contextualSpacing/>
              <w:rPr>
                <w:rFonts w:eastAsia="Calibri"/>
                <w:i/>
                <w:noProof/>
                <w:szCs w:val="24"/>
                <w:lang w:val="en-US"/>
              </w:rPr>
            </w:pPr>
            <w:r w:rsidRPr="00B05190">
              <w:rPr>
                <w:rFonts w:eastAsia="Calibri"/>
                <w:i/>
                <w:noProof/>
                <w:szCs w:val="24"/>
                <w:lang w:val="en-US"/>
              </w:rPr>
              <w:t>one project has as focus to produce statistics to meet European obligatiosn (mainly Eurostat, EASO and Frontex).</w:t>
            </w:r>
          </w:p>
          <w:p w14:paraId="4DA78E4F" w14:textId="77777777" w:rsidR="00B05190" w:rsidRPr="00B05190" w:rsidRDefault="00B05190" w:rsidP="00350FDA">
            <w:pPr>
              <w:numPr>
                <w:ilvl w:val="0"/>
                <w:numId w:val="46"/>
              </w:numPr>
              <w:spacing w:before="0" w:after="160" w:line="259" w:lineRule="auto"/>
              <w:contextualSpacing/>
              <w:rPr>
                <w:rFonts w:eastAsia="Calibri"/>
                <w:i/>
                <w:noProof/>
                <w:szCs w:val="24"/>
                <w:lang w:val="en-US"/>
              </w:rPr>
            </w:pPr>
            <w:r w:rsidRPr="00B05190">
              <w:rPr>
                <w:rFonts w:eastAsia="Calibri"/>
                <w:b/>
                <w:i/>
                <w:noProof/>
                <w:szCs w:val="24"/>
                <w:lang w:val="en-US"/>
              </w:rPr>
              <w:t>In the area of return</w:t>
            </w:r>
            <w:r w:rsidRPr="00B05190">
              <w:rPr>
                <w:rFonts w:eastAsia="Calibri"/>
                <w:i/>
                <w:noProof/>
                <w:szCs w:val="24"/>
                <w:lang w:val="en-US"/>
              </w:rPr>
              <w:t>, one project directly contributed to implemention of the Return Directive (2005/115/CE) by providing for an effective forced-return monitoring system</w:t>
            </w:r>
          </w:p>
          <w:p w14:paraId="300B39E0" w14:textId="77777777" w:rsidR="00B05190" w:rsidRPr="00B05190" w:rsidRDefault="00B05190" w:rsidP="00350FDA">
            <w:pPr>
              <w:pStyle w:val="Titre1"/>
              <w:outlineLvl w:val="0"/>
              <w:rPr>
                <w:rFonts w:eastAsia="Times New Roman"/>
                <w:noProof/>
                <w:lang w:val="en-US"/>
              </w:rPr>
            </w:pPr>
            <w:r w:rsidRPr="00B05190">
              <w:rPr>
                <w:rFonts w:eastAsia="Times New Roman"/>
                <w:noProof/>
                <w:lang w:val="en-US"/>
              </w:rPr>
              <w:t>COMMUNICATION AND VISIBILITY – ARTICLE 35(2), POINT (E), OF REGULATION (EU) 2021/1147</w:t>
            </w:r>
          </w:p>
          <w:p w14:paraId="239EB762" w14:textId="28354613" w:rsidR="00792913" w:rsidRPr="00792913" w:rsidRDefault="00792913" w:rsidP="00792913">
            <w:pPr>
              <w:numPr>
                <w:ilvl w:val="0"/>
                <w:numId w:val="47"/>
              </w:numPr>
              <w:spacing w:before="0" w:after="160" w:line="259" w:lineRule="auto"/>
              <w:contextualSpacing/>
              <w:rPr>
                <w:rFonts w:eastAsia="Calibri"/>
                <w:i/>
                <w:noProof/>
                <w:szCs w:val="24"/>
                <w:lang w:val="en-US"/>
              </w:rPr>
            </w:pPr>
            <w:bookmarkStart w:id="0" w:name="_GoBack"/>
            <w:bookmarkEnd w:id="0"/>
            <w:r w:rsidRPr="00792913">
              <w:rPr>
                <w:rFonts w:eastAsia="Calibri"/>
                <w:i/>
                <w:noProof/>
                <w:szCs w:val="24"/>
                <w:lang w:val="en-US"/>
              </w:rPr>
              <w:t>The Managing Authority's website has been adapted to include pages relating to the 2021-27 programme</w:t>
            </w:r>
          </w:p>
          <w:p w14:paraId="1AEDDF47" w14:textId="5583A4E5" w:rsidR="00792913" w:rsidRPr="00792913" w:rsidRDefault="00792913" w:rsidP="00792913">
            <w:pPr>
              <w:numPr>
                <w:ilvl w:val="0"/>
                <w:numId w:val="47"/>
              </w:numPr>
              <w:spacing w:before="0" w:after="160" w:line="259" w:lineRule="auto"/>
              <w:contextualSpacing/>
              <w:rPr>
                <w:rFonts w:eastAsia="Calibri"/>
                <w:i/>
                <w:noProof/>
                <w:szCs w:val="24"/>
                <w:lang w:val="en-US"/>
              </w:rPr>
            </w:pPr>
            <w:r w:rsidRPr="00792913">
              <w:rPr>
                <w:rFonts w:eastAsia="Calibri"/>
                <w:i/>
                <w:noProof/>
                <w:szCs w:val="24"/>
                <w:lang w:val="en-US"/>
              </w:rPr>
              <w:t>A single portal providing access to all the programmes has been set up by SP Wallonie</w:t>
            </w:r>
          </w:p>
          <w:p w14:paraId="0ADCD2CF" w14:textId="33EFCF7F" w:rsidR="00792913" w:rsidRPr="00792913" w:rsidRDefault="00792913" w:rsidP="00792913">
            <w:pPr>
              <w:numPr>
                <w:ilvl w:val="0"/>
                <w:numId w:val="47"/>
              </w:numPr>
              <w:spacing w:before="0" w:after="160" w:line="259" w:lineRule="auto"/>
              <w:contextualSpacing/>
              <w:rPr>
                <w:rFonts w:eastAsia="Calibri"/>
                <w:i/>
                <w:noProof/>
                <w:szCs w:val="24"/>
                <w:lang w:val="en-US"/>
              </w:rPr>
            </w:pPr>
            <w:r w:rsidRPr="00792913">
              <w:rPr>
                <w:rFonts w:eastAsia="Calibri"/>
                <w:i/>
                <w:noProof/>
                <w:szCs w:val="24"/>
                <w:lang w:val="en-US"/>
              </w:rPr>
              <w:t xml:space="preserve">The Managing Authority has appointed a Communication Officer for the </w:t>
            </w:r>
            <w:r>
              <w:rPr>
                <w:rFonts w:eastAsia="Calibri"/>
                <w:i/>
                <w:noProof/>
                <w:szCs w:val="24"/>
                <w:lang w:val="en-US"/>
              </w:rPr>
              <w:t>3</w:t>
            </w:r>
            <w:r w:rsidRPr="00792913">
              <w:rPr>
                <w:rFonts w:eastAsia="Calibri"/>
                <w:i/>
                <w:noProof/>
                <w:szCs w:val="24"/>
                <w:lang w:val="en-US"/>
              </w:rPr>
              <w:t xml:space="preserve"> programmes (AMIF, ISF and BMVI).</w:t>
            </w:r>
          </w:p>
          <w:p w14:paraId="08FC3E01" w14:textId="77777777" w:rsidR="00B05190" w:rsidRPr="00792913" w:rsidRDefault="00B05190" w:rsidP="00350FDA">
            <w:pPr>
              <w:pStyle w:val="Titre1"/>
              <w:outlineLvl w:val="0"/>
              <w:rPr>
                <w:rFonts w:eastAsia="Times New Roman"/>
                <w:noProof/>
                <w:lang w:val="en-US"/>
              </w:rPr>
            </w:pPr>
            <w:r w:rsidRPr="00792913">
              <w:rPr>
                <w:rFonts w:eastAsia="Times New Roman"/>
                <w:noProof/>
                <w:lang w:val="en-US"/>
              </w:rPr>
              <w:t>ENABLING CONDITIONS AND HORIZONTAL PRINCIPLES</w:t>
            </w:r>
          </w:p>
          <w:p w14:paraId="4FE36F93" w14:textId="77777777" w:rsidR="00B05190" w:rsidRPr="00B05190" w:rsidRDefault="00B05190" w:rsidP="00350FDA">
            <w:pPr>
              <w:pStyle w:val="Titre2"/>
              <w:outlineLvl w:val="1"/>
              <w:rPr>
                <w:rFonts w:eastAsia="Times New Roman"/>
                <w:noProof/>
                <w:lang w:val="en-US"/>
              </w:rPr>
            </w:pPr>
            <w:r w:rsidRPr="00B05190">
              <w:rPr>
                <w:rFonts w:eastAsia="Times New Roman"/>
                <w:noProof/>
                <w:lang w:val="en-US"/>
              </w:rPr>
              <w:t>Enabling conditions – Article 35(2), point (f), of Regulation (EU) 2021/1147</w:t>
            </w:r>
          </w:p>
          <w:p w14:paraId="633C319E" w14:textId="77777777" w:rsidR="00B05190" w:rsidRPr="00B05190" w:rsidRDefault="00B05190" w:rsidP="00350FDA">
            <w:pPr>
              <w:numPr>
                <w:ilvl w:val="0"/>
                <w:numId w:val="48"/>
              </w:numPr>
              <w:spacing w:before="0" w:after="160" w:line="259" w:lineRule="auto"/>
              <w:contextualSpacing/>
              <w:rPr>
                <w:rFonts w:eastAsia="Calibri"/>
                <w:i/>
                <w:noProof/>
                <w:szCs w:val="24"/>
                <w:lang w:val="en-US"/>
              </w:rPr>
            </w:pPr>
            <w:r w:rsidRPr="00B05190">
              <w:rPr>
                <w:rFonts w:eastAsia="Calibri"/>
                <w:i/>
                <w:noProof/>
                <w:szCs w:val="24"/>
                <w:lang w:val="en-US"/>
              </w:rPr>
              <w:t>Arrangements have been taken to ensure compliance of the programmes supported by the Funds and their implementation with the relevant provisions of the Charter and the UNCRPD.</w:t>
            </w:r>
          </w:p>
          <w:p w14:paraId="174864B9" w14:textId="77777777" w:rsidR="00B05190" w:rsidRPr="00B05190" w:rsidRDefault="00B05190" w:rsidP="00350FDA">
            <w:pPr>
              <w:numPr>
                <w:ilvl w:val="0"/>
                <w:numId w:val="48"/>
              </w:numPr>
              <w:spacing w:before="0" w:after="160" w:line="259" w:lineRule="auto"/>
              <w:contextualSpacing/>
              <w:rPr>
                <w:rFonts w:eastAsia="Calibri"/>
                <w:i/>
                <w:noProof/>
                <w:szCs w:val="24"/>
                <w:lang w:val="en-US"/>
              </w:rPr>
            </w:pPr>
            <w:r w:rsidRPr="00B05190">
              <w:rPr>
                <w:rFonts w:eastAsia="Calibri"/>
                <w:i/>
                <w:noProof/>
                <w:szCs w:val="24"/>
                <w:lang w:val="en-US"/>
              </w:rPr>
              <w:t>Reporting arrangements to the monitoring committee regarding cases of non-compliance of operations supported by the Funds with the Charter / UNCRPD and complaints submitted in accordance with the arrangements made pursuant to Art 69(7).</w:t>
            </w:r>
          </w:p>
          <w:p w14:paraId="4F4CDD61" w14:textId="77777777" w:rsidR="00B05190" w:rsidRPr="00B05190" w:rsidRDefault="00B05190" w:rsidP="00350FDA">
            <w:pPr>
              <w:numPr>
                <w:ilvl w:val="0"/>
                <w:numId w:val="48"/>
              </w:numPr>
              <w:spacing w:before="0" w:after="160" w:line="259" w:lineRule="auto"/>
              <w:contextualSpacing/>
              <w:rPr>
                <w:rFonts w:eastAsia="Calibri"/>
                <w:i/>
                <w:noProof/>
                <w:szCs w:val="24"/>
                <w:lang w:val="en-US"/>
              </w:rPr>
            </w:pPr>
            <w:r w:rsidRPr="00B05190">
              <w:rPr>
                <w:rFonts w:eastAsia="Calibri"/>
                <w:i/>
                <w:noProof/>
                <w:szCs w:val="24"/>
                <w:lang w:val="en-US"/>
              </w:rPr>
              <w:t>The controls of public procurements are also carried out by the Managing Authority in order to ensure the respect of the Belgian legislation.</w:t>
            </w:r>
          </w:p>
          <w:p w14:paraId="52D5B9B7" w14:textId="77777777" w:rsidR="00B05190" w:rsidRPr="00B05190" w:rsidRDefault="00B05190" w:rsidP="00350FDA">
            <w:pPr>
              <w:spacing w:before="0" w:after="160" w:line="259" w:lineRule="auto"/>
              <w:rPr>
                <w:rFonts w:eastAsia="Calibri"/>
                <w:i/>
                <w:noProof/>
                <w:szCs w:val="24"/>
                <w:lang w:val="en-US"/>
              </w:rPr>
            </w:pPr>
            <w:r w:rsidRPr="00B05190">
              <w:rPr>
                <w:rFonts w:eastAsia="Calibri"/>
                <w:i/>
                <w:noProof/>
                <w:szCs w:val="24"/>
                <w:lang w:val="en-US"/>
              </w:rPr>
              <w:t>No complaints have been received so far.</w:t>
            </w:r>
          </w:p>
          <w:p w14:paraId="6C427566" w14:textId="77777777" w:rsidR="00B05190" w:rsidRPr="00B05190" w:rsidRDefault="00B05190" w:rsidP="00350FDA">
            <w:pPr>
              <w:pStyle w:val="Titre2"/>
              <w:outlineLvl w:val="1"/>
              <w:rPr>
                <w:rFonts w:eastAsia="Times New Roman"/>
                <w:noProof/>
                <w:lang w:val="en-US"/>
              </w:rPr>
            </w:pPr>
            <w:r w:rsidRPr="00B05190">
              <w:rPr>
                <w:rFonts w:eastAsia="Times New Roman"/>
                <w:noProof/>
                <w:lang w:val="en-US"/>
              </w:rPr>
              <w:t>Compliance with horizontal principles – Article 9 of Regulation (EU) 2021/1060</w:t>
            </w:r>
          </w:p>
          <w:p w14:paraId="4C9EB4AD" w14:textId="77777777" w:rsidR="00B05190" w:rsidRPr="00B05190" w:rsidRDefault="00B05190" w:rsidP="00350FDA">
            <w:pPr>
              <w:spacing w:before="0" w:after="160" w:line="259" w:lineRule="auto"/>
              <w:rPr>
                <w:rFonts w:eastAsia="Calibri"/>
                <w:i/>
                <w:noProof/>
                <w:szCs w:val="24"/>
                <w:lang w:val="en-US"/>
              </w:rPr>
            </w:pPr>
            <w:r w:rsidRPr="00B05190">
              <w:rPr>
                <w:rFonts w:eastAsia="Calibri"/>
                <w:i/>
                <w:noProof/>
                <w:szCs w:val="24"/>
                <w:lang w:val="en-US"/>
              </w:rPr>
              <w:t>Actions explained under the point 5.1 apply as well to the horizontal principles.</w:t>
            </w:r>
          </w:p>
          <w:p w14:paraId="7F863CF7" w14:textId="77777777" w:rsidR="00B05190" w:rsidRPr="00B05190" w:rsidRDefault="00B05190" w:rsidP="00350FDA">
            <w:pPr>
              <w:pStyle w:val="Titre1"/>
              <w:outlineLvl w:val="0"/>
              <w:rPr>
                <w:rFonts w:eastAsia="Times New Roman"/>
                <w:noProof/>
                <w:lang w:val="en-US"/>
              </w:rPr>
            </w:pPr>
            <w:r w:rsidRPr="00B05190">
              <w:rPr>
                <w:rFonts w:eastAsia="Times New Roman"/>
                <w:noProof/>
                <w:lang w:val="en-US"/>
              </w:rPr>
              <w:t>PROJECTS IN OR IN RELATION TO THIRD COUNTRIES - ARTICLE 35(2), POINT (I), OF REGULATION (EU) 2021/1147</w:t>
            </w:r>
          </w:p>
          <w:p w14:paraId="5BDDD40D" w14:textId="77777777" w:rsidR="00B05190" w:rsidRPr="00B05190" w:rsidRDefault="00B05190" w:rsidP="00350FDA">
            <w:pPr>
              <w:spacing w:before="0" w:after="160" w:line="259" w:lineRule="auto"/>
              <w:rPr>
                <w:rFonts w:eastAsia="Calibri"/>
                <w:i/>
                <w:noProof/>
                <w:szCs w:val="24"/>
                <w:lang w:val="en-US"/>
              </w:rPr>
            </w:pPr>
            <w:r w:rsidRPr="00B05190">
              <w:rPr>
                <w:rFonts w:eastAsia="Calibri"/>
                <w:i/>
                <w:noProof/>
                <w:szCs w:val="24"/>
                <w:lang w:val="en-US"/>
              </w:rPr>
              <w:t>6 projects taking place in or with third countries have been selected during the reporting period (EU contribution 14.536.809,79€)</w:t>
            </w:r>
          </w:p>
          <w:p w14:paraId="681CEE88" w14:textId="360B5024" w:rsidR="00B05190" w:rsidRPr="00B05190" w:rsidRDefault="00B05190" w:rsidP="00350FDA">
            <w:pPr>
              <w:numPr>
                <w:ilvl w:val="0"/>
                <w:numId w:val="49"/>
              </w:numPr>
              <w:spacing w:before="0" w:after="160" w:line="259" w:lineRule="auto"/>
              <w:contextualSpacing/>
              <w:rPr>
                <w:rFonts w:eastAsia="Calibri"/>
                <w:i/>
                <w:noProof/>
                <w:szCs w:val="24"/>
                <w:lang w:val="en-US"/>
              </w:rPr>
            </w:pPr>
            <w:r w:rsidRPr="00B05190">
              <w:rPr>
                <w:rFonts w:eastAsia="Calibri"/>
                <w:i/>
                <w:noProof/>
                <w:szCs w:val="24"/>
                <w:lang w:val="en-US"/>
              </w:rPr>
              <w:lastRenderedPageBreak/>
              <w:t>4 return and reintegration projects (IOM, Caritas, Fedasil, Immigration Office)</w:t>
            </w:r>
            <w:r w:rsidR="0013415E">
              <w:rPr>
                <w:rFonts w:eastAsia="Calibri"/>
                <w:i/>
                <w:noProof/>
                <w:szCs w:val="24"/>
                <w:lang w:val="en-US"/>
              </w:rPr>
              <w:t xml:space="preserve"> with the aim to provide assisted return assistance to returnees and support local partner organisations</w:t>
            </w:r>
          </w:p>
          <w:p w14:paraId="38F7C241" w14:textId="48576580" w:rsidR="00B05190" w:rsidRPr="00B05190" w:rsidRDefault="00B05190" w:rsidP="00350FDA">
            <w:pPr>
              <w:numPr>
                <w:ilvl w:val="0"/>
                <w:numId w:val="49"/>
              </w:numPr>
              <w:spacing w:before="0" w:after="160" w:line="259" w:lineRule="auto"/>
              <w:contextualSpacing/>
              <w:rPr>
                <w:rFonts w:eastAsia="Calibri"/>
                <w:i/>
                <w:noProof/>
                <w:szCs w:val="24"/>
                <w:lang w:val="en-US"/>
              </w:rPr>
            </w:pPr>
            <w:r w:rsidRPr="00B05190">
              <w:rPr>
                <w:rFonts w:eastAsia="Calibri"/>
                <w:i/>
                <w:noProof/>
                <w:szCs w:val="24"/>
                <w:lang w:val="en-US"/>
              </w:rPr>
              <w:t>1 resettlement</w:t>
            </w:r>
            <w:r w:rsidR="0013415E">
              <w:rPr>
                <w:rFonts w:eastAsia="Calibri"/>
                <w:i/>
                <w:noProof/>
                <w:szCs w:val="24"/>
                <w:lang w:val="en-US"/>
              </w:rPr>
              <w:t xml:space="preserve"> project (Fedasil) with the aim</w:t>
            </w:r>
            <w:r w:rsidRPr="00B05190">
              <w:rPr>
                <w:rFonts w:eastAsia="Calibri"/>
                <w:i/>
                <w:noProof/>
                <w:szCs w:val="24"/>
                <w:lang w:val="en-US"/>
              </w:rPr>
              <w:t xml:space="preserve"> to improve the Belgian resettlement procedures &amp; developping other legal paths for third country nationals in need of a protection</w:t>
            </w:r>
          </w:p>
          <w:p w14:paraId="05FECD9C" w14:textId="4ED4D386" w:rsidR="00A27309" w:rsidRPr="00A27309" w:rsidRDefault="00B05190" w:rsidP="00350FDA">
            <w:pPr>
              <w:numPr>
                <w:ilvl w:val="0"/>
                <w:numId w:val="49"/>
              </w:numPr>
              <w:spacing w:before="0" w:after="160" w:line="259" w:lineRule="auto"/>
              <w:contextualSpacing/>
            </w:pPr>
            <w:r w:rsidRPr="00B05190">
              <w:rPr>
                <w:rFonts w:eastAsia="Calibri"/>
                <w:i/>
                <w:noProof/>
                <w:szCs w:val="24"/>
                <w:lang w:val="en-US"/>
              </w:rPr>
              <w:t>1 legal migration project (Immigration Office) with the aim to start pilot projects on circular migration with partner countries</w:t>
            </w:r>
          </w:p>
        </w:tc>
      </w:tr>
    </w:tbl>
    <w:p w14:paraId="2A0E127C" w14:textId="77777777" w:rsidR="006A41E2" w:rsidRPr="006A41E2" w:rsidRDefault="006A41E2" w:rsidP="00350FDA">
      <w:pPr>
        <w:rPr>
          <w:noProof/>
        </w:rPr>
      </w:pPr>
    </w:p>
    <w:sectPr w:rsidR="006A41E2" w:rsidRPr="006A41E2" w:rsidSect="00531164">
      <w:footerReference w:type="default" r:id="rId20"/>
      <w:footerReference w:type="first" r:id="rId21"/>
      <w:footnotePr>
        <w:numRestart w:val="eachSect"/>
      </w:footnote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C72B8" w14:textId="77777777" w:rsidR="00FD7E19" w:rsidRDefault="00FD7E19" w:rsidP="00555224">
      <w:pPr>
        <w:spacing w:before="0" w:after="0"/>
      </w:pPr>
      <w:r>
        <w:separator/>
      </w:r>
    </w:p>
  </w:endnote>
  <w:endnote w:type="continuationSeparator" w:id="0">
    <w:p w14:paraId="7BA87113" w14:textId="77777777" w:rsidR="00FD7E19" w:rsidRDefault="00FD7E19" w:rsidP="00555224">
      <w:pPr>
        <w:spacing w:before="0" w:after="0"/>
      </w:pPr>
      <w:r>
        <w:continuationSeparator/>
      </w:r>
    </w:p>
  </w:endnote>
  <w:endnote w:type="continuationNotice" w:id="1">
    <w:p w14:paraId="0C23A6A5" w14:textId="77777777" w:rsidR="00FD7E19" w:rsidRDefault="00FD7E1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86DAE" w14:textId="77777777" w:rsidR="007F66E9" w:rsidRPr="00531164" w:rsidRDefault="007F66E9" w:rsidP="0053116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669B4" w14:textId="780EFD81" w:rsidR="007F66E9" w:rsidRPr="00531164" w:rsidRDefault="007F66E9" w:rsidP="00531164">
    <w:pPr>
      <w:pStyle w:val="Pieddepage"/>
      <w:rPr>
        <w:rFonts w:ascii="Arial" w:hAnsi="Arial" w:cs="Arial"/>
        <w:b/>
        <w:sz w:val="48"/>
      </w:rPr>
    </w:pPr>
    <w:r w:rsidRPr="00531164">
      <w:rPr>
        <w:rFonts w:ascii="Arial" w:hAnsi="Arial" w:cs="Arial"/>
        <w:b/>
        <w:sz w:val="48"/>
      </w:rPr>
      <w:t>EN</w:t>
    </w:r>
    <w:r w:rsidRPr="00531164">
      <w:rPr>
        <w:rFonts w:ascii="Arial" w:hAnsi="Arial" w:cs="Arial"/>
        <w:b/>
        <w:sz w:val="48"/>
      </w:rPr>
      <w:tab/>
    </w:r>
    <w:r w:rsidRPr="00531164">
      <w:rPr>
        <w:rFonts w:ascii="Arial" w:hAnsi="Arial" w:cs="Arial"/>
        <w:b/>
        <w:sz w:val="48"/>
      </w:rPr>
      <w:tab/>
    </w:r>
    <w:r w:rsidRPr="00531164">
      <w:tab/>
    </w:r>
    <w:proofErr w:type="spellStart"/>
    <w:r w:rsidRPr="00531164">
      <w:rPr>
        <w:rFonts w:ascii="Arial" w:hAnsi="Arial" w:cs="Arial"/>
        <w:b/>
        <w:sz w:val="48"/>
      </w:rPr>
      <w:t>EN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33BA9" w14:textId="77777777" w:rsidR="007F66E9" w:rsidRPr="00531164" w:rsidRDefault="007F66E9" w:rsidP="00531164">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3634E" w14:textId="5DAD18E6" w:rsidR="007F66E9" w:rsidRPr="00531164" w:rsidRDefault="007F66E9" w:rsidP="00531164">
    <w:pPr>
      <w:pStyle w:val="Pieddepage"/>
      <w:rPr>
        <w:rFonts w:ascii="Arial" w:hAnsi="Arial" w:cs="Arial"/>
        <w:b/>
        <w:sz w:val="48"/>
      </w:rPr>
    </w:pPr>
    <w:r w:rsidRPr="00531164">
      <w:rPr>
        <w:rFonts w:ascii="Arial" w:hAnsi="Arial" w:cs="Arial"/>
        <w:b/>
        <w:sz w:val="48"/>
      </w:rPr>
      <w:t>EN</w:t>
    </w:r>
    <w:r w:rsidRPr="00531164">
      <w:rPr>
        <w:rFonts w:ascii="Arial" w:hAnsi="Arial" w:cs="Arial"/>
        <w:b/>
        <w:sz w:val="48"/>
      </w:rPr>
      <w:tab/>
    </w:r>
    <w:r>
      <w:fldChar w:fldCharType="begin"/>
    </w:r>
    <w:r>
      <w:instrText xml:space="preserve"> PAGE  \* MERGEFORMAT </w:instrText>
    </w:r>
    <w:r>
      <w:fldChar w:fldCharType="separate"/>
    </w:r>
    <w:r w:rsidR="00792913">
      <w:rPr>
        <w:noProof/>
      </w:rPr>
      <w:t>18</w:t>
    </w:r>
    <w:r>
      <w:fldChar w:fldCharType="end"/>
    </w:r>
    <w:r>
      <w:tab/>
    </w:r>
    <w:r w:rsidRPr="00531164">
      <w:tab/>
    </w:r>
    <w:r w:rsidRPr="00531164">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CBCEE" w14:textId="77777777" w:rsidR="007F66E9" w:rsidRPr="00531164" w:rsidRDefault="007F66E9" w:rsidP="005311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82E80" w14:textId="77777777" w:rsidR="00FD7E19" w:rsidRDefault="00FD7E19" w:rsidP="00555224">
      <w:pPr>
        <w:spacing w:before="0" w:after="0"/>
      </w:pPr>
      <w:r>
        <w:separator/>
      </w:r>
    </w:p>
  </w:footnote>
  <w:footnote w:type="continuationSeparator" w:id="0">
    <w:p w14:paraId="1FC52DF4" w14:textId="77777777" w:rsidR="00FD7E19" w:rsidRDefault="00FD7E19" w:rsidP="00555224">
      <w:pPr>
        <w:spacing w:before="0" w:after="0"/>
      </w:pPr>
      <w:r>
        <w:continuationSeparator/>
      </w:r>
    </w:p>
  </w:footnote>
  <w:footnote w:type="continuationNotice" w:id="1">
    <w:p w14:paraId="660F376D" w14:textId="77777777" w:rsidR="00FD7E19" w:rsidRDefault="00FD7E19">
      <w:pPr>
        <w:spacing w:before="0" w:after="0"/>
      </w:pPr>
    </w:p>
  </w:footnote>
  <w:footnote w:id="2">
    <w:p w14:paraId="4803C94E" w14:textId="6F6B226B" w:rsidR="007F66E9" w:rsidRPr="00515026" w:rsidRDefault="007F66E9">
      <w:pPr>
        <w:pStyle w:val="Notedebasdepage"/>
        <w:rPr>
          <w:lang w:val="en-IE"/>
        </w:rPr>
      </w:pPr>
      <w:r>
        <w:rPr>
          <w:rStyle w:val="Appelnotedebasdep"/>
        </w:rPr>
        <w:footnoteRef/>
      </w:r>
      <w:r>
        <w:rPr>
          <w:lang w:val="en-IE"/>
        </w:rPr>
        <w:tab/>
      </w:r>
      <w:r w:rsidRPr="008D3763">
        <w:rPr>
          <w:sz w:val="18"/>
        </w:rPr>
        <w:t xml:space="preserve">This refers to the situation when there is a gap between the nominal target achievement rate measured by the indicators and the actual progress in implementation. For instance, under-reporting of output and results could be due to issues with the development of the IT system, ongoing operations for which output and results are not yet reported, issues with the data collection leading to slow or </w:t>
      </w:r>
      <w:proofErr w:type="spellStart"/>
      <w:r w:rsidRPr="008D3763">
        <w:rPr>
          <w:sz w:val="18"/>
        </w:rPr>
        <w:t>incomp</w:t>
      </w:r>
      <w:proofErr w:type="spellEnd"/>
      <w:r>
        <w:rPr>
          <w:sz w:val="18"/>
        </w:rPr>
        <w:t xml:space="preserve"> </w:t>
      </w:r>
      <w:proofErr w:type="spellStart"/>
      <w:r w:rsidRPr="008D3763">
        <w:rPr>
          <w:sz w:val="18"/>
        </w:rPr>
        <w:t>lete</w:t>
      </w:r>
      <w:proofErr w:type="spellEnd"/>
      <w:r w:rsidRPr="008D3763">
        <w:rPr>
          <w:sz w:val="18"/>
        </w:rPr>
        <w:t xml:space="preserve"> reporting, etc.</w:t>
      </w:r>
    </w:p>
  </w:footnote>
  <w:footnote w:id="3">
    <w:p w14:paraId="544E8C67" w14:textId="7BD5699E" w:rsidR="007F66E9" w:rsidRPr="00515026" w:rsidRDefault="007F66E9">
      <w:pPr>
        <w:pStyle w:val="Notedebasdepage"/>
        <w:rPr>
          <w:lang w:val="en-IE"/>
        </w:rPr>
      </w:pPr>
      <w:r>
        <w:rPr>
          <w:rStyle w:val="Appelnotedebasdep"/>
        </w:rPr>
        <w:footnoteRef/>
      </w:r>
      <w:r>
        <w:rPr>
          <w:lang w:val="en-IE"/>
        </w:rPr>
        <w:tab/>
      </w:r>
      <w:r w:rsidRPr="008D3763">
        <w:rPr>
          <w:sz w:val="18"/>
        </w:rPr>
        <w:t xml:space="preserve">This refers to a situation where the low target achievement rate is not due to slow progress but rather to incorrect or unrealistic target setting. It may include lessons learned </w:t>
      </w:r>
      <w:r>
        <w:rPr>
          <w:sz w:val="18"/>
        </w:rPr>
        <w:t xml:space="preserve">in connection with the establishment of a </w:t>
      </w:r>
      <w:r w:rsidRPr="008D3763">
        <w:rPr>
          <w:sz w:val="18"/>
        </w:rPr>
        <w:t>methodology for target setting – such as wrong or incomplete assumptions or issues with the benchmark values selected – and any planned changes to it</w:t>
      </w:r>
      <w:r>
        <w:rPr>
          <w:sz w:val="18"/>
        </w:rPr>
        <w:t>.</w:t>
      </w:r>
    </w:p>
  </w:footnote>
  <w:footnote w:id="4">
    <w:p w14:paraId="646D27CD" w14:textId="77777777" w:rsidR="007F66E9" w:rsidRPr="00515026" w:rsidRDefault="007F66E9">
      <w:pPr>
        <w:pStyle w:val="Notedebasdepage"/>
        <w:rPr>
          <w:lang w:val="en-IE"/>
        </w:rPr>
      </w:pPr>
      <w:r>
        <w:rPr>
          <w:rStyle w:val="Appelnotedebasdep"/>
        </w:rPr>
        <w:footnoteRef/>
      </w:r>
      <w:r>
        <w:rPr>
          <w:lang w:val="en-IE"/>
        </w:rPr>
        <w:tab/>
      </w:r>
      <w:r w:rsidRPr="008D3763">
        <w:rPr>
          <w:sz w:val="18"/>
        </w:rPr>
        <w:t>For instance, issues related to tendering procedures, issues with audit procedures, issues linked to lack of resources at the managing authority level, an unforeseen delay in the adoption of the programme, etc.</w:t>
      </w:r>
    </w:p>
  </w:footnote>
  <w:footnote w:id="5">
    <w:p w14:paraId="4A9CE240" w14:textId="77777777" w:rsidR="007F66E9" w:rsidRPr="00515026" w:rsidRDefault="007F66E9">
      <w:pPr>
        <w:pStyle w:val="Notedebasdepage"/>
        <w:rPr>
          <w:lang w:val="en-IE"/>
        </w:rPr>
      </w:pPr>
      <w:r>
        <w:rPr>
          <w:rStyle w:val="Appelnotedebasdep"/>
        </w:rPr>
        <w:footnoteRef/>
      </w:r>
      <w:r>
        <w:rPr>
          <w:lang w:val="en-IE"/>
        </w:rPr>
        <w:tab/>
      </w:r>
      <w:r w:rsidRPr="008D3763">
        <w:rPr>
          <w:sz w:val="18"/>
        </w:rPr>
        <w:t>This can include, for instance, socio-economic or political factors, changes in the regulatory context, etc.</w:t>
      </w:r>
    </w:p>
  </w:footnote>
  <w:footnote w:id="6">
    <w:p w14:paraId="7FA097F9" w14:textId="77777777" w:rsidR="007F66E9" w:rsidRPr="00515026" w:rsidRDefault="007F66E9">
      <w:pPr>
        <w:pStyle w:val="Notedebasdepage"/>
        <w:rPr>
          <w:lang w:val="en-IE"/>
        </w:rPr>
      </w:pPr>
      <w:r>
        <w:rPr>
          <w:rStyle w:val="Appelnotedebasdep"/>
        </w:rPr>
        <w:footnoteRef/>
      </w:r>
      <w:r>
        <w:rPr>
          <w:lang w:val="en-IE"/>
        </w:rPr>
        <w:tab/>
      </w:r>
      <w:r w:rsidRPr="008D3763">
        <w:rPr>
          <w:sz w:val="18"/>
          <w:lang w:val="en-IE"/>
        </w:rPr>
        <w:t xml:space="preserve">For instance, issues </w:t>
      </w:r>
      <w:r>
        <w:rPr>
          <w:sz w:val="18"/>
          <w:lang w:val="en-IE"/>
        </w:rPr>
        <w:t xml:space="preserve">to do </w:t>
      </w:r>
      <w:r w:rsidRPr="008D3763">
        <w:rPr>
          <w:sz w:val="18"/>
          <w:lang w:val="en-IE"/>
        </w:rPr>
        <w:t>with the scope of the action (e.g. eligibility criteria), low interest from beneficiaries or participants, any deviation in the implementation of the action, etc.</w:t>
      </w:r>
      <w:r w:rsidRPr="008D3763" w:rsidDel="00686D37">
        <w:rPr>
          <w:sz w:val="18"/>
          <w:lang w:val="en-IE"/>
        </w:rPr>
        <w:t xml:space="preserve"> </w:t>
      </w:r>
    </w:p>
  </w:footnote>
  <w:footnote w:id="7">
    <w:p w14:paraId="1F6FA0AB" w14:textId="11DFF0CC" w:rsidR="007F66E9" w:rsidRPr="00CD67EB" w:rsidRDefault="007F66E9">
      <w:pPr>
        <w:pStyle w:val="Notedebasdepage"/>
        <w:rPr>
          <w:lang w:val="en-IE"/>
        </w:rPr>
      </w:pPr>
      <w:r>
        <w:rPr>
          <w:rStyle w:val="Appelnotedebasdep"/>
        </w:rPr>
        <w:footnoteRef/>
      </w:r>
      <w:r>
        <w:rPr>
          <w:lang w:val="en-IE"/>
        </w:rPr>
        <w:tab/>
      </w:r>
      <w:r w:rsidRPr="00804A12">
        <w:rPr>
          <w:sz w:val="18"/>
          <w:szCs w:val="18"/>
          <w:lang w:val="en-IE"/>
        </w:rPr>
        <w:t>If relevant for this purpose, refer to the information</w:t>
      </w:r>
      <w:r>
        <w:rPr>
          <w:sz w:val="18"/>
          <w:szCs w:val="18"/>
          <w:lang w:val="en-IE"/>
        </w:rPr>
        <w:t xml:space="preserve"> which is in scope of Regulation (EU) 2021/1147 and</w:t>
      </w:r>
      <w:r w:rsidRPr="00804A12">
        <w:rPr>
          <w:sz w:val="18"/>
          <w:szCs w:val="18"/>
          <w:lang w:val="en-IE"/>
        </w:rPr>
        <w:t xml:space="preserve"> available as a result of Schengen evaluations</w:t>
      </w:r>
      <w:r>
        <w:rPr>
          <w:sz w:val="18"/>
          <w:szCs w:val="18"/>
          <w:lang w:val="en-IE"/>
        </w:rPr>
        <w:t xml:space="preserve">, </w:t>
      </w:r>
      <w:r w:rsidRPr="00804A12">
        <w:rPr>
          <w:sz w:val="18"/>
          <w:szCs w:val="18"/>
          <w:lang w:val="en-IE"/>
        </w:rPr>
        <w:t xml:space="preserve">carried out in accordance with </w:t>
      </w:r>
      <w:r w:rsidRPr="005A3D19">
        <w:rPr>
          <w:sz w:val="18"/>
          <w:szCs w:val="18"/>
        </w:rPr>
        <w:t>Council Regulation (EU) No 1053/2013 of 7 October 2013 establishing an evaluation and monitoring mechanism to verify the application of the Schengen acquis and repealing the Decision of the Executive Committee of 16 September 1998 set</w:t>
      </w:r>
      <w:r w:rsidRPr="00E45982">
        <w:rPr>
          <w:sz w:val="18"/>
          <w:szCs w:val="18"/>
        </w:rPr>
        <w:t>ting up a Standing Committee on the evaluation and implementation of Schengen (OJ L 295, 6.11.2013, p. 27) and Council Regulation (EU) 2022/922 of 9 June 2022 on the establishment and operation of an evaluation and monitoring mechanism to verify the application of the Schengen acquis, and repealing Regulation (EU) No 1053/2013 (OJ L 160, 15.6.2022, p. 1)</w:t>
      </w:r>
      <w:r w:rsidRPr="00804A12">
        <w:rPr>
          <w:sz w:val="18"/>
          <w:szCs w:val="18"/>
        </w:rPr>
        <w:t>.</w:t>
      </w:r>
    </w:p>
  </w:footnote>
  <w:footnote w:id="8">
    <w:p w14:paraId="4EF32CC8" w14:textId="0678EF75" w:rsidR="007F66E9" w:rsidRPr="0037290B" w:rsidRDefault="007F66E9">
      <w:pPr>
        <w:pStyle w:val="Notedebasdepage"/>
        <w:rPr>
          <w:lang w:val="en-IE"/>
        </w:rPr>
      </w:pPr>
      <w:r>
        <w:rPr>
          <w:rStyle w:val="Appelnotedebasdep"/>
        </w:rPr>
        <w:footnoteRef/>
      </w:r>
      <w:r>
        <w:rPr>
          <w:lang w:val="en-IE"/>
        </w:rPr>
        <w:tab/>
      </w:r>
      <w:r w:rsidRPr="00515026">
        <w:rPr>
          <w:sz w:val="18"/>
        </w:rPr>
        <w:t xml:space="preserve">In the case of specific actions with a transnational nature, the scope of this section varies </w:t>
      </w:r>
      <w:r>
        <w:rPr>
          <w:sz w:val="18"/>
        </w:rPr>
        <w:t>according to</w:t>
      </w:r>
      <w:r w:rsidRPr="00515026">
        <w:rPr>
          <w:sz w:val="18"/>
        </w:rPr>
        <w:t xml:space="preserve"> the distribution of roles and responsibilities between the lead Member States and the other participating Member States, as well as the choice of the reporting method used</w:t>
      </w:r>
      <w:r>
        <w:rPr>
          <w:sz w:val="18"/>
        </w:rPr>
        <w:t xml:space="preserve">. This is described in the Commission’s note of 14 February 2022 - </w:t>
      </w:r>
      <w:r w:rsidRPr="00E80570">
        <w:rPr>
          <w:sz w:val="18"/>
        </w:rPr>
        <w:t>Transnational specific  actions  under  the  Asylum,  Migration  and Integration  Fund  (AMIF),  the  Instrument  for  Financial  Support  for Border  Management  and  Visa  Policy  (BMVI),and  the  Internal Security Fund (ISF) –</w:t>
      </w:r>
      <w:r>
        <w:rPr>
          <w:sz w:val="18"/>
        </w:rPr>
        <w:t xml:space="preserve"> </w:t>
      </w:r>
      <w:r w:rsidRPr="00E80570">
        <w:rPr>
          <w:sz w:val="18"/>
        </w:rPr>
        <w:t xml:space="preserve">Arrangements between partners </w:t>
      </w:r>
      <w:r>
        <w:rPr>
          <w:sz w:val="18"/>
        </w:rPr>
        <w:t>(</w:t>
      </w:r>
      <w:r w:rsidRPr="00515026">
        <w:rPr>
          <w:sz w:val="18"/>
        </w:rPr>
        <w:t>Ares</w:t>
      </w:r>
      <w:r>
        <w:rPr>
          <w:sz w:val="18"/>
        </w:rPr>
        <w:t xml:space="preserve"> </w:t>
      </w:r>
      <w:r w:rsidRPr="00515026">
        <w:rPr>
          <w:sz w:val="18"/>
        </w:rPr>
        <w:t>(2022)1060102</w:t>
      </w:r>
      <w:r>
        <w:rPr>
          <w:sz w:val="18"/>
        </w:rPr>
        <w:t>)</w:t>
      </w:r>
      <w:r w:rsidRPr="00515026">
        <w:rPr>
          <w:sz w:val="18"/>
        </w:rPr>
        <w:t>.</w:t>
      </w:r>
    </w:p>
  </w:footnote>
  <w:footnote w:id="9">
    <w:p w14:paraId="4407723F" w14:textId="4AE4DFB8" w:rsidR="007F66E9" w:rsidRPr="007027D4" w:rsidRDefault="007F66E9">
      <w:pPr>
        <w:pStyle w:val="Notedebasdepage"/>
        <w:rPr>
          <w:lang w:val="en-IE"/>
        </w:rPr>
      </w:pPr>
      <w:r>
        <w:rPr>
          <w:rStyle w:val="Appelnotedebasdep"/>
        </w:rPr>
        <w:footnoteRef/>
      </w:r>
      <w:r>
        <w:rPr>
          <w:lang w:val="en-IE"/>
        </w:rPr>
        <w:tab/>
      </w:r>
      <w:r>
        <w:rPr>
          <w:sz w:val="18"/>
          <w:lang w:val="en-IE"/>
        </w:rPr>
        <w:t>Union</w:t>
      </w:r>
      <w:r w:rsidRPr="007027D4">
        <w:rPr>
          <w:sz w:val="18"/>
          <w:lang w:val="en-IE"/>
        </w:rPr>
        <w:t xml:space="preserve"> added value is defined as the </w:t>
      </w:r>
      <w:r w:rsidRPr="007027D4">
        <w:rPr>
          <w:sz w:val="18"/>
        </w:rPr>
        <w:t>generation of results beyond what would have been achieved by Member States acting alone</w:t>
      </w:r>
      <w:r>
        <w:rPr>
          <w:sz w:val="18"/>
        </w:rPr>
        <w:t>.</w:t>
      </w:r>
      <w:r w:rsidRPr="007027D4">
        <w:rPr>
          <w:sz w:val="18"/>
          <w:lang w:val="en-IE"/>
        </w:rPr>
        <w:t xml:space="preserve"> </w:t>
      </w:r>
    </w:p>
  </w:footnote>
  <w:footnote w:id="10">
    <w:p w14:paraId="10AF3696" w14:textId="2C787966" w:rsidR="007F66E9" w:rsidRPr="007027D4" w:rsidRDefault="007F66E9">
      <w:pPr>
        <w:pStyle w:val="Notedebasdepage"/>
        <w:rPr>
          <w:sz w:val="18"/>
          <w:lang w:val="en-IE"/>
        </w:rPr>
      </w:pPr>
      <w:r>
        <w:rPr>
          <w:rStyle w:val="Appelnotedebasdep"/>
        </w:rPr>
        <w:footnoteRef/>
      </w:r>
      <w:r>
        <w:rPr>
          <w:lang w:val="en-IE"/>
        </w:rPr>
        <w:tab/>
      </w:r>
      <w:r w:rsidRPr="007027D4">
        <w:rPr>
          <w:sz w:val="18"/>
          <w:lang w:val="en-IE"/>
        </w:rPr>
        <w:t>For instance, in connection t</w:t>
      </w:r>
      <w:r>
        <w:rPr>
          <w:sz w:val="18"/>
          <w:lang w:val="en-IE"/>
        </w:rPr>
        <w:t>o procurement activities or any other preparatory steps taken.</w:t>
      </w:r>
    </w:p>
  </w:footnote>
  <w:footnote w:id="11">
    <w:p w14:paraId="49DA9F22" w14:textId="1C5A9B4F" w:rsidR="007F66E9" w:rsidRPr="007027D4" w:rsidRDefault="007F66E9">
      <w:pPr>
        <w:pStyle w:val="Notedebasdepage"/>
        <w:rPr>
          <w:lang w:val="en-IE"/>
        </w:rPr>
      </w:pPr>
      <w:r>
        <w:rPr>
          <w:rStyle w:val="Appelnotedebasdep"/>
        </w:rPr>
        <w:footnoteRef/>
      </w:r>
      <w:r>
        <w:rPr>
          <w:lang w:val="en-IE"/>
        </w:rPr>
        <w:tab/>
      </w:r>
      <w:r w:rsidRPr="007027D4">
        <w:rPr>
          <w:sz w:val="18"/>
          <w:lang w:val="en-IE"/>
        </w:rPr>
        <w:t>For instance, in terms of deliverables, outputs, results etc.</w:t>
      </w:r>
    </w:p>
  </w:footnote>
  <w:footnote w:id="12">
    <w:p w14:paraId="6209E246" w14:textId="2AF0DE3A" w:rsidR="007F66E9" w:rsidRPr="00515026" w:rsidRDefault="007F66E9">
      <w:pPr>
        <w:pStyle w:val="Notedebasdepage"/>
        <w:rPr>
          <w:sz w:val="18"/>
          <w:lang w:val="en-IE"/>
        </w:rPr>
      </w:pPr>
      <w:r>
        <w:rPr>
          <w:rStyle w:val="Appelnotedebasdep"/>
        </w:rPr>
        <w:footnoteRef/>
      </w:r>
      <w:r>
        <w:rPr>
          <w:lang w:val="en-IE"/>
        </w:rPr>
        <w:tab/>
      </w:r>
      <w:r w:rsidRPr="00515026">
        <w:rPr>
          <w:sz w:val="18"/>
        </w:rPr>
        <w:t xml:space="preserve">As </w:t>
      </w:r>
      <w:r>
        <w:rPr>
          <w:sz w:val="18"/>
        </w:rPr>
        <w:t>set out</w:t>
      </w:r>
      <w:r w:rsidRPr="00515026">
        <w:rPr>
          <w:sz w:val="18"/>
        </w:rPr>
        <w:t xml:space="preserve"> in </w:t>
      </w:r>
      <w:r>
        <w:rPr>
          <w:sz w:val="18"/>
        </w:rPr>
        <w:t>the Commission’s note of 14 February 2022 (</w:t>
      </w:r>
      <w:r w:rsidRPr="00515026">
        <w:rPr>
          <w:sz w:val="18"/>
        </w:rPr>
        <w:t>Ares</w:t>
      </w:r>
      <w:r>
        <w:rPr>
          <w:sz w:val="18"/>
        </w:rPr>
        <w:t xml:space="preserve"> </w:t>
      </w:r>
      <w:r w:rsidRPr="00515026">
        <w:rPr>
          <w:sz w:val="18"/>
        </w:rPr>
        <w:t>(2022)1060102</w:t>
      </w:r>
      <w:r>
        <w:rPr>
          <w:sz w:val="18"/>
        </w:rPr>
        <w:t>).</w:t>
      </w:r>
    </w:p>
  </w:footnote>
  <w:footnote w:id="13">
    <w:p w14:paraId="303A8DAB" w14:textId="02F7BB25" w:rsidR="007F66E9" w:rsidRPr="00515026" w:rsidRDefault="007F66E9">
      <w:pPr>
        <w:pStyle w:val="Notedebasdepage"/>
        <w:rPr>
          <w:sz w:val="18"/>
          <w:lang w:val="en-IE"/>
        </w:rPr>
      </w:pPr>
      <w:r>
        <w:rPr>
          <w:rStyle w:val="Appelnotedebasdep"/>
        </w:rPr>
        <w:footnoteRef/>
      </w:r>
      <w:r>
        <w:rPr>
          <w:lang w:val="en-IE"/>
        </w:rPr>
        <w:tab/>
      </w:r>
      <w:r w:rsidRPr="00515026">
        <w:rPr>
          <w:sz w:val="18"/>
        </w:rPr>
        <w:t>Total eligible cost of selected operations</w:t>
      </w:r>
      <w:r>
        <w:rPr>
          <w:sz w:val="18"/>
        </w:rPr>
        <w:t>, as reported to the Commission</w:t>
      </w:r>
      <w:r w:rsidRPr="00515026">
        <w:rPr>
          <w:sz w:val="18"/>
        </w:rPr>
        <w:t xml:space="preserve"> by 31 July of the last accounting year</w:t>
      </w:r>
      <w:r>
        <w:rPr>
          <w:sz w:val="18"/>
        </w:rPr>
        <w:t>.</w:t>
      </w:r>
    </w:p>
  </w:footnote>
  <w:footnote w:id="14">
    <w:p w14:paraId="5159A4B9" w14:textId="5E210184" w:rsidR="007F66E9" w:rsidRPr="0037290B" w:rsidRDefault="007F66E9">
      <w:pPr>
        <w:pStyle w:val="Notedebasdepage"/>
        <w:rPr>
          <w:lang w:val="en-IE"/>
        </w:rPr>
      </w:pPr>
      <w:r>
        <w:rPr>
          <w:rStyle w:val="Appelnotedebasdep"/>
        </w:rPr>
        <w:footnoteRef/>
      </w:r>
      <w:r>
        <w:rPr>
          <w:lang w:val="en-IE"/>
        </w:rPr>
        <w:tab/>
      </w:r>
      <w:r w:rsidRPr="00515026">
        <w:rPr>
          <w:sz w:val="18"/>
        </w:rPr>
        <w:t xml:space="preserve">Total amount of eligible expenditure </w:t>
      </w:r>
      <w:r>
        <w:rPr>
          <w:sz w:val="18"/>
        </w:rPr>
        <w:t>declared</w:t>
      </w:r>
      <w:r w:rsidRPr="00515026">
        <w:rPr>
          <w:sz w:val="18"/>
        </w:rPr>
        <w:t xml:space="preserve"> by beneficiaries </w:t>
      </w:r>
      <w:r>
        <w:rPr>
          <w:sz w:val="18"/>
        </w:rPr>
        <w:t>to the managing authority</w:t>
      </w:r>
      <w:r w:rsidRPr="00515026">
        <w:rPr>
          <w:sz w:val="18"/>
        </w:rPr>
        <w:t>, by 31 July of the last accounting year</w:t>
      </w:r>
      <w:r>
        <w:rPr>
          <w:sz w:val="18"/>
        </w:rPr>
        <w:t>.</w:t>
      </w:r>
    </w:p>
  </w:footnote>
  <w:footnote w:id="15">
    <w:p w14:paraId="7711319C" w14:textId="1E70BAB7" w:rsidR="007F66E9" w:rsidRPr="0037290B" w:rsidRDefault="007F66E9">
      <w:pPr>
        <w:pStyle w:val="Notedebasdepage"/>
        <w:rPr>
          <w:lang w:val="en-IE"/>
        </w:rPr>
      </w:pPr>
      <w:r>
        <w:rPr>
          <w:rStyle w:val="Appelnotedebasdep"/>
        </w:rPr>
        <w:footnoteRef/>
      </w:r>
      <w:r>
        <w:rPr>
          <w:lang w:val="en-IE"/>
        </w:rPr>
        <w:tab/>
      </w:r>
      <w:r w:rsidRPr="00515026">
        <w:rPr>
          <w:sz w:val="18"/>
        </w:rPr>
        <w:t>If specific actions represent a top-up of previous operations and there are no dedicated monitoring arrangements, report the output and results pro-</w:t>
      </w:r>
      <w:r>
        <w:rPr>
          <w:sz w:val="18"/>
        </w:rPr>
        <w:t>rata.</w:t>
      </w:r>
    </w:p>
  </w:footnote>
  <w:footnote w:id="16">
    <w:p w14:paraId="46517976" w14:textId="50CC30EC" w:rsidR="007F66E9" w:rsidRPr="00202C38" w:rsidRDefault="007F66E9">
      <w:pPr>
        <w:pStyle w:val="Notedebasdepage"/>
      </w:pPr>
      <w:r w:rsidRPr="008B35C9">
        <w:rPr>
          <w:rStyle w:val="Appelnotedebasdep"/>
        </w:rPr>
        <w:footnoteRef/>
      </w:r>
      <w:r>
        <w:tab/>
      </w:r>
      <w:r w:rsidRPr="007027D4">
        <w:rPr>
          <w:sz w:val="18"/>
          <w:szCs w:val="18"/>
        </w:rPr>
        <w:t>Regulation (EU) No 516/2014 of the European Parliament and of the Council of 16 April 2014 establishing the Asylum, Migration and Integration Fund, amending Council Decision 2008/381/EC and repealing Decisions No 573/2007/EC and No 575/2007/EC of the European Parliament and of the Council and Council Decision 2007/435/EC (OJ L 150, 20.5.2014, p. 168).</w:t>
      </w:r>
    </w:p>
  </w:footnote>
  <w:footnote w:id="17">
    <w:p w14:paraId="779809AF" w14:textId="622F31C6" w:rsidR="007F66E9" w:rsidRPr="007027D4" w:rsidRDefault="007F66E9">
      <w:pPr>
        <w:pStyle w:val="Notedebasdepage"/>
        <w:rPr>
          <w:sz w:val="18"/>
          <w:szCs w:val="18"/>
          <w:lang w:val="en-IE"/>
        </w:rPr>
      </w:pPr>
      <w:r w:rsidRPr="008B35C9">
        <w:rPr>
          <w:rStyle w:val="Appelnotedebasdep"/>
        </w:rPr>
        <w:footnoteRef/>
      </w:r>
      <w:r>
        <w:tab/>
      </w:r>
      <w:r w:rsidRPr="007027D4">
        <w:rPr>
          <w:bCs/>
          <w:color w:val="333333"/>
          <w:sz w:val="18"/>
          <w:szCs w:val="18"/>
          <w:shd w:val="clear" w:color="auto" w:fill="FFFFFF"/>
        </w:rPr>
        <w:t xml:space="preserve">Regulation (EU) No 514/2014 of the European Parliament and of the Council of 16 April 2014 laying down general provisions on the Asylum, Migration and Integration Fund and on the instrument for financial support for police cooperation, preventing and combating crime, and crisis management (OJ L 150, </w:t>
      </w:r>
      <w:r w:rsidRPr="007027D4">
        <w:rPr>
          <w:sz w:val="18"/>
          <w:szCs w:val="18"/>
        </w:rPr>
        <w:t>20.5.2014, p.112)</w:t>
      </w:r>
      <w:r>
        <w:rPr>
          <w:sz w:val="18"/>
          <w:szCs w:val="18"/>
        </w:rPr>
        <w:t>.</w:t>
      </w:r>
    </w:p>
  </w:footnote>
  <w:footnote w:id="18">
    <w:p w14:paraId="245CC17A" w14:textId="74E8FF80" w:rsidR="007F66E9" w:rsidRPr="007027D4" w:rsidRDefault="007F66E9">
      <w:pPr>
        <w:pStyle w:val="Notedebasdepage"/>
        <w:rPr>
          <w:lang w:val="en-IE"/>
        </w:rPr>
      </w:pPr>
      <w:r>
        <w:rPr>
          <w:rStyle w:val="Appelnotedebasdep"/>
        </w:rPr>
        <w:footnoteRef/>
      </w:r>
      <w:r>
        <w:rPr>
          <w:lang w:val="en-IE"/>
        </w:rPr>
        <w:tab/>
      </w:r>
      <w:r>
        <w:rPr>
          <w:sz w:val="18"/>
          <w:lang w:val="en-IE"/>
        </w:rPr>
        <w:t xml:space="preserve">In particular, e.g. the </w:t>
      </w:r>
      <w:r w:rsidRPr="00FA3952">
        <w:rPr>
          <w:sz w:val="18"/>
          <w:lang w:val="en-IE"/>
        </w:rPr>
        <w:t xml:space="preserve">Neighbourhood, Development and International Cooperation Instrument </w:t>
      </w:r>
      <w:r>
        <w:rPr>
          <w:sz w:val="18"/>
          <w:lang w:val="en-IE"/>
        </w:rPr>
        <w:t xml:space="preserve">(NDICI) </w:t>
      </w:r>
      <w:r w:rsidRPr="00FA3952">
        <w:rPr>
          <w:sz w:val="18"/>
          <w:lang w:val="en-IE"/>
        </w:rPr>
        <w:t>– Global Europe</w:t>
      </w:r>
      <w:r w:rsidRPr="003651F7">
        <w:rPr>
          <w:sz w:val="18"/>
          <w:lang w:val="en-IE"/>
        </w:rPr>
        <w:t xml:space="preserve"> and </w:t>
      </w:r>
      <w:r>
        <w:rPr>
          <w:sz w:val="18"/>
          <w:lang w:val="en-IE"/>
        </w:rPr>
        <w:t>the Instrument for Pre-accession assistance (</w:t>
      </w:r>
      <w:r w:rsidRPr="003651F7">
        <w:rPr>
          <w:sz w:val="18"/>
          <w:lang w:val="en-IE"/>
        </w:rPr>
        <w:t>IPA</w:t>
      </w:r>
      <w:r>
        <w:rPr>
          <w:sz w:val="18"/>
          <w:lang w:val="en-IE"/>
        </w:rPr>
        <w:t>).</w:t>
      </w:r>
      <w:r w:rsidRPr="007027D4">
        <w:rPr>
          <w:sz w:val="18"/>
          <w:lang w:val="en-IE"/>
        </w:rPr>
        <w:t xml:space="preserve"> </w:t>
      </w:r>
    </w:p>
  </w:footnote>
  <w:footnote w:id="19">
    <w:p w14:paraId="57846E8B" w14:textId="334405B0" w:rsidR="007F66E9" w:rsidRPr="0037290B" w:rsidRDefault="007F66E9" w:rsidP="00532177">
      <w:pPr>
        <w:pStyle w:val="Notedebasdepage"/>
        <w:rPr>
          <w:lang w:val="en-IE"/>
        </w:rPr>
      </w:pPr>
      <w:r>
        <w:rPr>
          <w:rStyle w:val="Appelnotedebasdep"/>
        </w:rPr>
        <w:footnoteRef/>
      </w:r>
      <w:r>
        <w:rPr>
          <w:lang w:val="en-IE"/>
        </w:rPr>
        <w:tab/>
      </w:r>
      <w:r w:rsidRPr="00515026">
        <w:rPr>
          <w:sz w:val="18"/>
        </w:rPr>
        <w:t xml:space="preserve">Complementarity with any other relevant </w:t>
      </w:r>
      <w:r>
        <w:rPr>
          <w:sz w:val="18"/>
        </w:rPr>
        <w:t>EU</w:t>
      </w:r>
      <w:r w:rsidRPr="00515026">
        <w:rPr>
          <w:sz w:val="18"/>
        </w:rPr>
        <w:t xml:space="preserve"> funds (e.g. Recovery and Resilience Facility, Erasmus+, Creative Europe, Cohesion Fund, Just transition Fund etc.) </w:t>
      </w:r>
      <w:r>
        <w:rPr>
          <w:sz w:val="18"/>
        </w:rPr>
        <w:t>could</w:t>
      </w:r>
      <w:r w:rsidRPr="00515026">
        <w:rPr>
          <w:sz w:val="18"/>
        </w:rPr>
        <w:t xml:space="preserve"> also </w:t>
      </w:r>
      <w:r>
        <w:rPr>
          <w:sz w:val="18"/>
        </w:rPr>
        <w:t xml:space="preserve">be </w:t>
      </w:r>
      <w:r w:rsidRPr="00515026">
        <w:rPr>
          <w:sz w:val="18"/>
        </w:rPr>
        <w:t>relevant</w:t>
      </w:r>
      <w:r>
        <w:rPr>
          <w:sz w:val="18"/>
        </w:rPr>
        <w:t>.</w:t>
      </w:r>
    </w:p>
  </w:footnote>
  <w:footnote w:id="20">
    <w:p w14:paraId="298EAB5B" w14:textId="77777777" w:rsidR="007F66E9" w:rsidRPr="007027D4" w:rsidRDefault="007F66E9" w:rsidP="00B66713">
      <w:pPr>
        <w:pStyle w:val="Notedebasdepage"/>
        <w:rPr>
          <w:lang w:val="en-IE"/>
        </w:rPr>
      </w:pPr>
      <w:r>
        <w:rPr>
          <w:rStyle w:val="Appelnotedebasdep"/>
        </w:rPr>
        <w:footnoteRef/>
      </w:r>
      <w:r>
        <w:rPr>
          <w:lang w:val="en-IE"/>
        </w:rPr>
        <w:tab/>
      </w:r>
      <w:r w:rsidRPr="007027D4">
        <w:rPr>
          <w:sz w:val="18"/>
          <w:lang w:val="en-IE"/>
        </w:rPr>
        <w:t xml:space="preserve">Such as cooperation at </w:t>
      </w:r>
      <w:r>
        <w:rPr>
          <w:sz w:val="18"/>
          <w:lang w:val="en-IE"/>
        </w:rPr>
        <w:t>EU</w:t>
      </w:r>
      <w:r w:rsidRPr="007027D4">
        <w:rPr>
          <w:sz w:val="18"/>
          <w:lang w:val="en-IE"/>
        </w:rPr>
        <w:t xml:space="preserve"> level between the Member States, and between Member States and relevant </w:t>
      </w:r>
      <w:r>
        <w:rPr>
          <w:sz w:val="18"/>
          <w:lang w:val="en-IE"/>
        </w:rPr>
        <w:t>EU</w:t>
      </w:r>
      <w:r w:rsidRPr="007027D4">
        <w:rPr>
          <w:sz w:val="18"/>
          <w:lang w:val="en-IE"/>
        </w:rPr>
        <w:t xml:space="preserve"> bodies, offices and agencies, as well as cooperation at national level among the competent authorities within each Member State</w:t>
      </w:r>
      <w:r>
        <w:rPr>
          <w:sz w:val="18"/>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EDD26" w14:textId="77777777" w:rsidR="007F66E9" w:rsidRPr="00531164" w:rsidRDefault="007F66E9" w:rsidP="0053116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3E396" w14:textId="77777777" w:rsidR="007F66E9" w:rsidRPr="00531164" w:rsidRDefault="007F66E9" w:rsidP="0053116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44C0F" w14:textId="77777777" w:rsidR="007F66E9" w:rsidRPr="00531164" w:rsidRDefault="007F66E9" w:rsidP="005311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9E2164A"/>
    <w:lvl w:ilvl="0">
      <w:start w:val="1"/>
      <w:numFmt w:val="decimal"/>
      <w:pStyle w:val="Listenumros4"/>
      <w:lvlText w:val="%1."/>
      <w:lvlJc w:val="left"/>
      <w:pPr>
        <w:tabs>
          <w:tab w:val="num" w:pos="1209"/>
        </w:tabs>
        <w:ind w:left="1209" w:hanging="360"/>
      </w:pPr>
    </w:lvl>
  </w:abstractNum>
  <w:abstractNum w:abstractNumId="1" w15:restartNumberingAfterBreak="0">
    <w:nsid w:val="FFFFFF7E"/>
    <w:multiLevelType w:val="singleLevel"/>
    <w:tmpl w:val="E7F42C28"/>
    <w:lvl w:ilvl="0">
      <w:start w:val="1"/>
      <w:numFmt w:val="decimal"/>
      <w:pStyle w:val="Listenumros3"/>
      <w:lvlText w:val="%1."/>
      <w:lvlJc w:val="left"/>
      <w:pPr>
        <w:tabs>
          <w:tab w:val="num" w:pos="926"/>
        </w:tabs>
        <w:ind w:left="926" w:hanging="360"/>
      </w:pPr>
    </w:lvl>
  </w:abstractNum>
  <w:abstractNum w:abstractNumId="2" w15:restartNumberingAfterBreak="0">
    <w:nsid w:val="FFFFFF7F"/>
    <w:multiLevelType w:val="singleLevel"/>
    <w:tmpl w:val="1C34734A"/>
    <w:lvl w:ilvl="0">
      <w:start w:val="1"/>
      <w:numFmt w:val="decimal"/>
      <w:pStyle w:val="Listenumros2"/>
      <w:lvlText w:val="%1."/>
      <w:lvlJc w:val="left"/>
      <w:pPr>
        <w:tabs>
          <w:tab w:val="num" w:pos="643"/>
        </w:tabs>
        <w:ind w:left="643" w:hanging="360"/>
      </w:pPr>
    </w:lvl>
  </w:abstractNum>
  <w:abstractNum w:abstractNumId="3" w15:restartNumberingAfterBreak="0">
    <w:nsid w:val="FFFFFF81"/>
    <w:multiLevelType w:val="singleLevel"/>
    <w:tmpl w:val="E1F03B04"/>
    <w:lvl w:ilvl="0">
      <w:start w:val="1"/>
      <w:numFmt w:val="bullet"/>
      <w:pStyle w:val="Listepuces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04411D4"/>
    <w:lvl w:ilvl="0">
      <w:start w:val="1"/>
      <w:numFmt w:val="bullet"/>
      <w:pStyle w:val="Listepuces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17051A2"/>
    <w:lvl w:ilvl="0">
      <w:start w:val="1"/>
      <w:numFmt w:val="bullet"/>
      <w:pStyle w:val="Listepuces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91B43B32"/>
    <w:lvl w:ilvl="0">
      <w:start w:val="1"/>
      <w:numFmt w:val="decimal"/>
      <w:pStyle w:val="Listenumros"/>
      <w:lvlText w:val="%1."/>
      <w:lvlJc w:val="left"/>
      <w:pPr>
        <w:tabs>
          <w:tab w:val="num" w:pos="360"/>
        </w:tabs>
        <w:ind w:left="360" w:hanging="360"/>
      </w:pPr>
    </w:lvl>
  </w:abstractNum>
  <w:abstractNum w:abstractNumId="7" w15:restartNumberingAfterBreak="0">
    <w:nsid w:val="FFFFFF89"/>
    <w:multiLevelType w:val="singleLevel"/>
    <w:tmpl w:val="9F7CFE3E"/>
    <w:lvl w:ilvl="0">
      <w:start w:val="1"/>
      <w:numFmt w:val="bullet"/>
      <w:pStyle w:val="Listepuces"/>
      <w:lvlText w:val=""/>
      <w:lvlJc w:val="left"/>
      <w:pPr>
        <w:tabs>
          <w:tab w:val="num" w:pos="360"/>
        </w:tabs>
        <w:ind w:left="360" w:hanging="360"/>
      </w:pPr>
      <w:rPr>
        <w:rFonts w:ascii="Symbol" w:hAnsi="Symbol" w:hint="default"/>
      </w:rPr>
    </w:lvl>
  </w:abstractNum>
  <w:abstractNum w:abstractNumId="8" w15:restartNumberingAfterBreak="0">
    <w:nsid w:val="0EBA196F"/>
    <w:multiLevelType w:val="hybridMultilevel"/>
    <w:tmpl w:val="C3562FF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6196749"/>
    <w:multiLevelType w:val="hybridMultilevel"/>
    <w:tmpl w:val="00F0573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7EE3C82"/>
    <w:multiLevelType w:val="hybridMultilevel"/>
    <w:tmpl w:val="3D600AAC"/>
    <w:lvl w:ilvl="0" w:tplc="A4DCFAFC">
      <w:start w:val="1"/>
      <w:numFmt w:val="bullet"/>
      <w:lvlText w:val=""/>
      <w:lvlJc w:val="left"/>
      <w:pPr>
        <w:ind w:left="720" w:hanging="36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1F4E3966"/>
    <w:multiLevelType w:val="hybridMultilevel"/>
    <w:tmpl w:val="81A4E17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2C06267"/>
    <w:multiLevelType w:val="hybridMultilevel"/>
    <w:tmpl w:val="03A62F24"/>
    <w:lvl w:ilvl="0" w:tplc="222A2516">
      <w:start w:val="2"/>
      <w:numFmt w:val="bullet"/>
      <w:lvlText w:val=""/>
      <w:lvlJc w:val="left"/>
      <w:pPr>
        <w:ind w:left="1440" w:hanging="360"/>
      </w:pPr>
      <w:rPr>
        <w:rFonts w:ascii="Wingdings" w:eastAsiaTheme="minorHAnsi" w:hAnsi="Wingdings" w:cs="Aria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DC6B4C"/>
    <w:multiLevelType w:val="hybridMultilevel"/>
    <w:tmpl w:val="13121F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7"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8" w15:restartNumberingAfterBreak="0">
    <w:nsid w:val="2FA102B4"/>
    <w:multiLevelType w:val="hybridMultilevel"/>
    <w:tmpl w:val="B85AEEC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2650038"/>
    <w:multiLevelType w:val="hybridMultilevel"/>
    <w:tmpl w:val="12E893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2B63795"/>
    <w:multiLevelType w:val="hybridMultilevel"/>
    <w:tmpl w:val="BCD01FB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C3E5732"/>
    <w:multiLevelType w:val="hybridMultilevel"/>
    <w:tmpl w:val="C11286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4"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2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15:restartNumberingAfterBreak="0">
    <w:nsid w:val="4A5B556E"/>
    <w:multiLevelType w:val="hybridMultilevel"/>
    <w:tmpl w:val="6E90EB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D4A444F"/>
    <w:multiLevelType w:val="hybridMultilevel"/>
    <w:tmpl w:val="A906B67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E6B3252"/>
    <w:multiLevelType w:val="hybridMultilevel"/>
    <w:tmpl w:val="4BF44A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1A903F2"/>
    <w:multiLevelType w:val="hybridMultilevel"/>
    <w:tmpl w:val="2F6815C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46727D3"/>
    <w:multiLevelType w:val="hybridMultilevel"/>
    <w:tmpl w:val="A2D2CEF0"/>
    <w:lvl w:ilvl="0" w:tplc="08130011">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48076C6"/>
    <w:multiLevelType w:val="hybridMultilevel"/>
    <w:tmpl w:val="9CD8A5D0"/>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2"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5DDD3DD2"/>
    <w:multiLevelType w:val="hybridMultilevel"/>
    <w:tmpl w:val="C6229DA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2C55BEF"/>
    <w:multiLevelType w:val="hybridMultilevel"/>
    <w:tmpl w:val="77708A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4A12FA4"/>
    <w:multiLevelType w:val="multilevel"/>
    <w:tmpl w:val="428ECF3E"/>
    <w:name w:val="Heading"/>
    <w:lvl w:ilvl="0">
      <w:start w:val="1"/>
      <w:numFmt w:val="decimal"/>
      <w:lvlRestart w:val="0"/>
      <w:pStyle w:val="Titre1"/>
      <w:lvlText w:val="%1."/>
      <w:lvlJc w:val="left"/>
      <w:pPr>
        <w:tabs>
          <w:tab w:val="num" w:pos="850"/>
        </w:tabs>
        <w:ind w:left="850" w:hanging="850"/>
      </w:pPr>
    </w:lvl>
    <w:lvl w:ilvl="1">
      <w:start w:val="1"/>
      <w:numFmt w:val="decimal"/>
      <w:pStyle w:val="Titre2"/>
      <w:lvlText w:val="%1.%2."/>
      <w:lvlJc w:val="left"/>
      <w:pPr>
        <w:tabs>
          <w:tab w:val="num" w:pos="850"/>
        </w:tabs>
        <w:ind w:left="850" w:hanging="850"/>
      </w:pPr>
    </w:lvl>
    <w:lvl w:ilvl="2">
      <w:start w:val="1"/>
      <w:numFmt w:val="decimal"/>
      <w:pStyle w:val="Titre3"/>
      <w:lvlText w:val="%1.%2.%3."/>
      <w:lvlJc w:val="left"/>
      <w:pPr>
        <w:tabs>
          <w:tab w:val="num" w:pos="850"/>
        </w:tabs>
        <w:ind w:left="850" w:hanging="850"/>
      </w:pPr>
    </w:lvl>
    <w:lvl w:ilvl="3">
      <w:start w:val="1"/>
      <w:numFmt w:val="decimal"/>
      <w:pStyle w:val="Titre4"/>
      <w:lvlText w:val="%1.%2.%3.%4."/>
      <w:lvlJc w:val="left"/>
      <w:pPr>
        <w:tabs>
          <w:tab w:val="num" w:pos="850"/>
        </w:tabs>
        <w:ind w:left="850" w:hanging="850"/>
      </w:pPr>
    </w:lvl>
    <w:lvl w:ilvl="4">
      <w:start w:val="1"/>
      <w:numFmt w:val="decimal"/>
      <w:pStyle w:val="Titre5"/>
      <w:lvlText w:val="%1.%2.%3.%4.%5."/>
      <w:lvlJc w:val="left"/>
      <w:pPr>
        <w:tabs>
          <w:tab w:val="num" w:pos="1417"/>
        </w:tabs>
        <w:ind w:left="1417" w:hanging="1417"/>
      </w:pPr>
    </w:lvl>
    <w:lvl w:ilvl="5">
      <w:start w:val="1"/>
      <w:numFmt w:val="decimal"/>
      <w:pStyle w:val="Titre6"/>
      <w:lvlText w:val="%1.%2.%3.%4.%5.%6."/>
      <w:lvlJc w:val="left"/>
      <w:pPr>
        <w:tabs>
          <w:tab w:val="num" w:pos="1417"/>
        </w:tabs>
        <w:ind w:left="1417" w:hanging="1417"/>
      </w:pPr>
    </w:lvl>
    <w:lvl w:ilvl="6">
      <w:start w:val="1"/>
      <w:numFmt w:val="decimal"/>
      <w:pStyle w:val="Titre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68C44AA"/>
    <w:multiLevelType w:val="hybridMultilevel"/>
    <w:tmpl w:val="E7E82E5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1" w15:restartNumberingAfterBreak="0">
    <w:nsid w:val="69994E12"/>
    <w:multiLevelType w:val="hybridMultilevel"/>
    <w:tmpl w:val="91A84476"/>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6B266CCB"/>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046543"/>
    <w:multiLevelType w:val="hybridMultilevel"/>
    <w:tmpl w:val="8840744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759F2417"/>
    <w:multiLevelType w:val="hybridMultilevel"/>
    <w:tmpl w:val="5A08658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7AB713DC"/>
    <w:multiLevelType w:val="hybridMultilevel"/>
    <w:tmpl w:val="3D0664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35"/>
    <w:lvlOverride w:ilvl="0">
      <w:startOverride w:val="1"/>
    </w:lvlOverride>
  </w:num>
  <w:num w:numId="11">
    <w:abstractNumId w:val="35"/>
    <w:lvlOverride w:ilvl="0">
      <w:startOverride w:val="1"/>
    </w:lvlOverride>
  </w:num>
  <w:num w:numId="12">
    <w:abstractNumId w:val="35"/>
  </w:num>
  <w:num w:numId="13">
    <w:abstractNumId w:val="22"/>
  </w:num>
  <w:num w:numId="14">
    <w:abstractNumId w:val="40"/>
  </w:num>
  <w:num w:numId="15">
    <w:abstractNumId w:val="17"/>
  </w:num>
  <w:num w:numId="16">
    <w:abstractNumId w:val="23"/>
  </w:num>
  <w:num w:numId="17">
    <w:abstractNumId w:val="24"/>
  </w:num>
  <w:num w:numId="18">
    <w:abstractNumId w:val="14"/>
  </w:num>
  <w:num w:numId="19">
    <w:abstractNumId w:val="38"/>
  </w:num>
  <w:num w:numId="20">
    <w:abstractNumId w:val="11"/>
  </w:num>
  <w:num w:numId="21">
    <w:abstractNumId w:val="25"/>
  </w:num>
  <w:num w:numId="22">
    <w:abstractNumId w:val="33"/>
  </w:num>
  <w:num w:numId="23">
    <w:abstractNumId w:val="34"/>
  </w:num>
  <w:num w:numId="24">
    <w:abstractNumId w:val="16"/>
  </w:num>
  <w:num w:numId="25">
    <w:abstractNumId w:val="32"/>
  </w:num>
  <w:num w:numId="26">
    <w:abstractNumId w:val="46"/>
  </w:num>
  <w:num w:numId="27">
    <w:abstractNumId w:val="28"/>
  </w:num>
  <w:num w:numId="28">
    <w:abstractNumId w:val="37"/>
  </w:num>
  <w:num w:numId="29">
    <w:abstractNumId w:val="45"/>
  </w:num>
  <w:num w:numId="30">
    <w:abstractNumId w:val="43"/>
  </w:num>
  <w:num w:numId="31">
    <w:abstractNumId w:val="36"/>
  </w:num>
  <w:num w:numId="32">
    <w:abstractNumId w:val="10"/>
  </w:num>
  <w:num w:numId="33">
    <w:abstractNumId w:val="44"/>
  </w:num>
  <w:num w:numId="34">
    <w:abstractNumId w:val="30"/>
  </w:num>
  <w:num w:numId="35">
    <w:abstractNumId w:val="13"/>
  </w:num>
  <w:num w:numId="36">
    <w:abstractNumId w:val="41"/>
  </w:num>
  <w:num w:numId="37">
    <w:abstractNumId w:val="42"/>
  </w:num>
  <w:num w:numId="38">
    <w:abstractNumId w:val="18"/>
  </w:num>
  <w:num w:numId="39">
    <w:abstractNumId w:val="20"/>
  </w:num>
  <w:num w:numId="40">
    <w:abstractNumId w:val="9"/>
  </w:num>
  <w:num w:numId="41">
    <w:abstractNumId w:val="39"/>
  </w:num>
  <w:num w:numId="42">
    <w:abstractNumId w:val="29"/>
  </w:num>
  <w:num w:numId="43">
    <w:abstractNumId w:val="15"/>
  </w:num>
  <w:num w:numId="44">
    <w:abstractNumId w:val="31"/>
  </w:num>
  <w:num w:numId="45">
    <w:abstractNumId w:val="26"/>
  </w:num>
  <w:num w:numId="46">
    <w:abstractNumId w:val="8"/>
  </w:num>
  <w:num w:numId="47">
    <w:abstractNumId w:val="19"/>
  </w:num>
  <w:num w:numId="48">
    <w:abstractNumId w:val="21"/>
  </w:num>
  <w:num w:numId="49">
    <w:abstractNumId w:val="27"/>
  </w:num>
  <w:num w:numId="50">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BE" w:vendorID="64" w:dllVersion="6" w:nlCheck="1" w:checkStyle="0"/>
  <w:activeWritingStyle w:appName="MSWord" w:lang="en-IE" w:vendorID="64" w:dllVersion="6" w:nlCheck="1" w:checkStyle="1"/>
  <w:activeWritingStyle w:appName="MSWord" w:lang="en-GB" w:vendorID="64" w:dllVersion="6" w:nlCheck="1" w:checkStyle="1"/>
  <w:activeWritingStyle w:appName="MSWord" w:lang="en-GB" w:vendorID="64" w:dllVersion="0" w:nlCheck="1" w:checkStyle="0"/>
  <w:activeWritingStyle w:appName="MSWord" w:lang="en-IE" w:vendorID="64" w:dllVersion="0" w:nlCheck="1" w:checkStyle="0"/>
  <w:activeWritingStyle w:appName="MSWord" w:lang="en-GB" w:vendorID="64" w:dllVersion="131078" w:nlCheck="1" w:checkStyle="1"/>
  <w:activeWritingStyle w:appName="MSWord" w:lang="en-IE" w:vendorID="64" w:dllVersion="131078" w:nlCheck="1" w:checkStyle="1"/>
  <w:activeWritingStyle w:appName="MSWord" w:lang="fr-BE" w:vendorID="64" w:dllVersion="131078" w:nlCheck="1" w:checkStyle="0"/>
  <w:activeWritingStyle w:appName="MSWord" w:lang="nl-BE" w:vendorID="64" w:dllVersion="131078" w:nlCheck="1" w:checkStyle="0"/>
  <w:activeWritingStyle w:appName="MSWord" w:lang="en-US" w:vendorID="64" w:dllVersion="131078" w:nlCheck="1" w:checkStyle="1"/>
  <w:proofState w:spelling="clean"/>
  <w:attachedTemplate r:id="rId1"/>
  <w:defaultTabStop w:val="720"/>
  <w:hyphenationZone w:val="425"/>
  <w:characterSpacingControl w:val="doNotCompress"/>
  <w:hdrShapeDefaults>
    <o:shapedefaults v:ext="edit" spidmax="399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DateTime" w:val="2023-01-17 12:45:11"/>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Green"/>
    <w:docVar w:name="DQCVersion" w:val="3"/>
    <w:docVar w:name="DQCWithWarnings" w:val="0"/>
    <w:docVar w:name="LW_ACCOMPAGNANT" w:val="to the"/>
    <w:docVar w:name="LW_ACCOMPAGNANT.CP" w:val="to the"/>
    <w:docVar w:name="LW_ANNEX_NBR_FIRST" w:val="1"/>
    <w:docVar w:name="LW_ANNEX_NBR_LAST" w:val="1"/>
    <w:docVar w:name="LW_ANNEX_UNIQUE" w:val="1"/>
    <w:docVar w:name="LW_CORRIGENDUM" w:val="&lt;UNUSED&gt;"/>
    <w:docVar w:name="LW_COVERPAGE_EXISTS" w:val="True"/>
    <w:docVar w:name="LW_COVERPAGE_GUID" w:val="694ABDA6-43A7-4F90-80BE-D823AB50B143"/>
    <w:docVar w:name="LW_COVERPAGE_TYPE" w:val="1"/>
    <w:docVar w:name="LW_CROSSREFERENCE" w:val="&lt;UNUSED&gt;"/>
    <w:docVar w:name="LW_DocType" w:val="ANNEX"/>
    <w:docVar w:name="LW_EMISSION" w:val="25.1.2023"/>
    <w:docVar w:name="LW_EMISSION_ISODATE" w:val="2023-01-25"/>
    <w:docVar w:name="LW_EMISSION_LOCATION" w:val="BRX"/>
    <w:docVar w:name="LW_EMISSION_PREFIX" w:val="Brussels, "/>
    <w:docVar w:name="LW_EMISSION_SUFFIX" w:val=" "/>
    <w:docVar w:name="LW_ID_DOCSTRUCTURE" w:val="COM/ANNEX"/>
    <w:docVar w:name="LW_ID_DOCTYPE" w:val="SG-068"/>
    <w:docVar w:name="LW_LANGUE" w:val="EN"/>
    <w:docVar w:name="LW_LEVEL_OF_SENSITIVITY" w:val="Standard treatment"/>
    <w:docVar w:name="LW_NOM.INST" w:val="EUROPEAN COMMISSION"/>
    <w:docVar w:name="LW_NOM.INST_JOINTDOC" w:val="&lt;EMPTY&gt;"/>
    <w:docVar w:name="LW_OBJETACTEPRINCIPAL" w:val="establishing the template for the annual performance reports on the Asylum, Migration and Integration Fund for the 2021-2027 programming period, pursuant to Regulation (EU) 2021/1147"/>
    <w:docVar w:name="LW_OBJETACTEPRINCIPAL.CP" w:val="establishing the template for the annual performance reports on the Asylum, Migration and Integration Fund for the 2021-2027 programming period, pursuant to Regulation (EU) 2021/1147"/>
    <w:docVar w:name="LW_PART_NBR" w:val="1"/>
    <w:docVar w:name="LW_PART_NBR_TOTAL" w:val="1"/>
    <w:docVar w:name="LW_REF.INST.NEW" w:val="C"/>
    <w:docVar w:name="LW_REF.INST.NEW_ADOPTED" w:val="final"/>
    <w:docVar w:name="LW_REF.INST.NEW_TEXT" w:val="(2023) 5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
    <w:docVar w:name="LW_TYPE.DOC.CP" w:val="ANNEX"/>
    <w:docVar w:name="LW_TYPEACTEPRINCIPAL" w:val="Commission Implementing Regulation"/>
    <w:docVar w:name="LW_TYPEACTEPRINCIPAL.CP" w:val="Commission Implementing Regulation"/>
    <w:docVar w:name="LwApiVersions" w:val="LW4CoDe 1.23.2.0; LW 8.0, Build 20211117"/>
  </w:docVars>
  <w:rsids>
    <w:rsidRoot w:val="00555224"/>
    <w:rsid w:val="0000016F"/>
    <w:rsid w:val="000133CF"/>
    <w:rsid w:val="00014F7C"/>
    <w:rsid w:val="0001528B"/>
    <w:rsid w:val="00021312"/>
    <w:rsid w:val="00027355"/>
    <w:rsid w:val="000317D5"/>
    <w:rsid w:val="00031B2E"/>
    <w:rsid w:val="000439A8"/>
    <w:rsid w:val="00044A31"/>
    <w:rsid w:val="00046462"/>
    <w:rsid w:val="00053829"/>
    <w:rsid w:val="00056CD2"/>
    <w:rsid w:val="0005722E"/>
    <w:rsid w:val="00070021"/>
    <w:rsid w:val="00075EDB"/>
    <w:rsid w:val="00081CCF"/>
    <w:rsid w:val="00083808"/>
    <w:rsid w:val="00085A16"/>
    <w:rsid w:val="00085D54"/>
    <w:rsid w:val="000903CC"/>
    <w:rsid w:val="00091C77"/>
    <w:rsid w:val="00093D5B"/>
    <w:rsid w:val="0009637A"/>
    <w:rsid w:val="000A0779"/>
    <w:rsid w:val="000C122F"/>
    <w:rsid w:val="000C4CC6"/>
    <w:rsid w:val="000D1693"/>
    <w:rsid w:val="000D1CB6"/>
    <w:rsid w:val="000D2037"/>
    <w:rsid w:val="000D44D0"/>
    <w:rsid w:val="000E45B7"/>
    <w:rsid w:val="000F00FA"/>
    <w:rsid w:val="000F07D5"/>
    <w:rsid w:val="000F1C58"/>
    <w:rsid w:val="000F2666"/>
    <w:rsid w:val="00101D84"/>
    <w:rsid w:val="00104E34"/>
    <w:rsid w:val="0010507C"/>
    <w:rsid w:val="00111D07"/>
    <w:rsid w:val="00112035"/>
    <w:rsid w:val="00112E38"/>
    <w:rsid w:val="00122018"/>
    <w:rsid w:val="001324AE"/>
    <w:rsid w:val="0013415E"/>
    <w:rsid w:val="00141E24"/>
    <w:rsid w:val="0014395A"/>
    <w:rsid w:val="0014687F"/>
    <w:rsid w:val="00150589"/>
    <w:rsid w:val="0015270D"/>
    <w:rsid w:val="00152894"/>
    <w:rsid w:val="00153209"/>
    <w:rsid w:val="0015448D"/>
    <w:rsid w:val="00154541"/>
    <w:rsid w:val="0016705F"/>
    <w:rsid w:val="001675CD"/>
    <w:rsid w:val="00172248"/>
    <w:rsid w:val="00177A66"/>
    <w:rsid w:val="00181A3F"/>
    <w:rsid w:val="00182FA3"/>
    <w:rsid w:val="0019152D"/>
    <w:rsid w:val="001A1F71"/>
    <w:rsid w:val="001A292A"/>
    <w:rsid w:val="001A60E2"/>
    <w:rsid w:val="001B037F"/>
    <w:rsid w:val="001B098C"/>
    <w:rsid w:val="001B35CC"/>
    <w:rsid w:val="001C0807"/>
    <w:rsid w:val="001C4994"/>
    <w:rsid w:val="001C6937"/>
    <w:rsid w:val="001D03C4"/>
    <w:rsid w:val="001D175D"/>
    <w:rsid w:val="001D1A94"/>
    <w:rsid w:val="001D21A1"/>
    <w:rsid w:val="001D2E88"/>
    <w:rsid w:val="001E0672"/>
    <w:rsid w:val="001E1588"/>
    <w:rsid w:val="001E3E4B"/>
    <w:rsid w:val="001F02FF"/>
    <w:rsid w:val="001F5240"/>
    <w:rsid w:val="001F5A7D"/>
    <w:rsid w:val="001F71DC"/>
    <w:rsid w:val="00200016"/>
    <w:rsid w:val="00200C0C"/>
    <w:rsid w:val="00201722"/>
    <w:rsid w:val="00202C38"/>
    <w:rsid w:val="002136D5"/>
    <w:rsid w:val="00214B02"/>
    <w:rsid w:val="00216D79"/>
    <w:rsid w:val="00222074"/>
    <w:rsid w:val="00222260"/>
    <w:rsid w:val="00222919"/>
    <w:rsid w:val="002229DC"/>
    <w:rsid w:val="002275D0"/>
    <w:rsid w:val="00241250"/>
    <w:rsid w:val="00241BA6"/>
    <w:rsid w:val="00244632"/>
    <w:rsid w:val="00244A46"/>
    <w:rsid w:val="002508BC"/>
    <w:rsid w:val="00251735"/>
    <w:rsid w:val="00254824"/>
    <w:rsid w:val="00256B7A"/>
    <w:rsid w:val="00260785"/>
    <w:rsid w:val="00262589"/>
    <w:rsid w:val="00267706"/>
    <w:rsid w:val="002733AB"/>
    <w:rsid w:val="00277AF0"/>
    <w:rsid w:val="00280C53"/>
    <w:rsid w:val="00284D38"/>
    <w:rsid w:val="00296314"/>
    <w:rsid w:val="002A3F7D"/>
    <w:rsid w:val="002A6200"/>
    <w:rsid w:val="002A6B7D"/>
    <w:rsid w:val="002C46D2"/>
    <w:rsid w:val="002C4A46"/>
    <w:rsid w:val="002C60F2"/>
    <w:rsid w:val="002C67E2"/>
    <w:rsid w:val="002D03F0"/>
    <w:rsid w:val="002D06B8"/>
    <w:rsid w:val="002E0557"/>
    <w:rsid w:val="002E13C5"/>
    <w:rsid w:val="002E355D"/>
    <w:rsid w:val="002F1935"/>
    <w:rsid w:val="002F5106"/>
    <w:rsid w:val="002F7C7D"/>
    <w:rsid w:val="003003B7"/>
    <w:rsid w:val="00305958"/>
    <w:rsid w:val="00315460"/>
    <w:rsid w:val="0032373D"/>
    <w:rsid w:val="00323AA1"/>
    <w:rsid w:val="00327883"/>
    <w:rsid w:val="0033233F"/>
    <w:rsid w:val="00332A4B"/>
    <w:rsid w:val="00345E16"/>
    <w:rsid w:val="00347EE8"/>
    <w:rsid w:val="0035085A"/>
    <w:rsid w:val="00350FDA"/>
    <w:rsid w:val="00351C18"/>
    <w:rsid w:val="0035484F"/>
    <w:rsid w:val="0035655E"/>
    <w:rsid w:val="003651F7"/>
    <w:rsid w:val="0037290B"/>
    <w:rsid w:val="003811CC"/>
    <w:rsid w:val="00382E9C"/>
    <w:rsid w:val="0038516C"/>
    <w:rsid w:val="003923CA"/>
    <w:rsid w:val="003945F3"/>
    <w:rsid w:val="003A1B83"/>
    <w:rsid w:val="003A6A89"/>
    <w:rsid w:val="003B217D"/>
    <w:rsid w:val="003B616F"/>
    <w:rsid w:val="003B7834"/>
    <w:rsid w:val="003C2195"/>
    <w:rsid w:val="003C2ACA"/>
    <w:rsid w:val="003C4D95"/>
    <w:rsid w:val="003E1F5E"/>
    <w:rsid w:val="003E338B"/>
    <w:rsid w:val="003E36B0"/>
    <w:rsid w:val="003E4922"/>
    <w:rsid w:val="003E49B2"/>
    <w:rsid w:val="003E7D66"/>
    <w:rsid w:val="003E7F9C"/>
    <w:rsid w:val="003F00E6"/>
    <w:rsid w:val="00405D43"/>
    <w:rsid w:val="00410DEC"/>
    <w:rsid w:val="004119DA"/>
    <w:rsid w:val="0041224B"/>
    <w:rsid w:val="00416104"/>
    <w:rsid w:val="004204D4"/>
    <w:rsid w:val="004351CF"/>
    <w:rsid w:val="0043592D"/>
    <w:rsid w:val="004369E8"/>
    <w:rsid w:val="00437336"/>
    <w:rsid w:val="0044327D"/>
    <w:rsid w:val="004465EB"/>
    <w:rsid w:val="004629B2"/>
    <w:rsid w:val="004630E2"/>
    <w:rsid w:val="00465E5F"/>
    <w:rsid w:val="00475B8F"/>
    <w:rsid w:val="00481574"/>
    <w:rsid w:val="0048297F"/>
    <w:rsid w:val="00490445"/>
    <w:rsid w:val="0049785B"/>
    <w:rsid w:val="004A30F9"/>
    <w:rsid w:val="004A3B98"/>
    <w:rsid w:val="004C3A8C"/>
    <w:rsid w:val="004C55D8"/>
    <w:rsid w:val="004D7325"/>
    <w:rsid w:val="004E07ED"/>
    <w:rsid w:val="004E137F"/>
    <w:rsid w:val="004F00F8"/>
    <w:rsid w:val="004F1E95"/>
    <w:rsid w:val="004F3047"/>
    <w:rsid w:val="004F5CCC"/>
    <w:rsid w:val="004F5E71"/>
    <w:rsid w:val="005000D5"/>
    <w:rsid w:val="00500897"/>
    <w:rsid w:val="00515026"/>
    <w:rsid w:val="00517525"/>
    <w:rsid w:val="00520A2F"/>
    <w:rsid w:val="00520BCD"/>
    <w:rsid w:val="005210C0"/>
    <w:rsid w:val="00524D87"/>
    <w:rsid w:val="00527D55"/>
    <w:rsid w:val="00531164"/>
    <w:rsid w:val="00532177"/>
    <w:rsid w:val="005343BB"/>
    <w:rsid w:val="00535AC2"/>
    <w:rsid w:val="005365AB"/>
    <w:rsid w:val="00541258"/>
    <w:rsid w:val="00544E72"/>
    <w:rsid w:val="00545857"/>
    <w:rsid w:val="00546D7A"/>
    <w:rsid w:val="00552A8B"/>
    <w:rsid w:val="00553F2F"/>
    <w:rsid w:val="00555224"/>
    <w:rsid w:val="00555916"/>
    <w:rsid w:val="005608A9"/>
    <w:rsid w:val="00561E3E"/>
    <w:rsid w:val="0056447F"/>
    <w:rsid w:val="00571255"/>
    <w:rsid w:val="00582244"/>
    <w:rsid w:val="0058444F"/>
    <w:rsid w:val="005856EF"/>
    <w:rsid w:val="00590E8A"/>
    <w:rsid w:val="00591AB0"/>
    <w:rsid w:val="0059250C"/>
    <w:rsid w:val="00596B50"/>
    <w:rsid w:val="005A2D3E"/>
    <w:rsid w:val="005A2F53"/>
    <w:rsid w:val="005B69E9"/>
    <w:rsid w:val="005B77F4"/>
    <w:rsid w:val="005C47C3"/>
    <w:rsid w:val="005C782B"/>
    <w:rsid w:val="005D4AE8"/>
    <w:rsid w:val="005E186D"/>
    <w:rsid w:val="00600B6E"/>
    <w:rsid w:val="0060652B"/>
    <w:rsid w:val="00615A7D"/>
    <w:rsid w:val="00615E27"/>
    <w:rsid w:val="00620009"/>
    <w:rsid w:val="00621FCD"/>
    <w:rsid w:val="00630C95"/>
    <w:rsid w:val="00636969"/>
    <w:rsid w:val="00636FE6"/>
    <w:rsid w:val="0063702D"/>
    <w:rsid w:val="00644DD6"/>
    <w:rsid w:val="00652D07"/>
    <w:rsid w:val="00656EC7"/>
    <w:rsid w:val="00662AC6"/>
    <w:rsid w:val="00662F68"/>
    <w:rsid w:val="00672408"/>
    <w:rsid w:val="00683DBB"/>
    <w:rsid w:val="006848B2"/>
    <w:rsid w:val="00685D35"/>
    <w:rsid w:val="00691CF7"/>
    <w:rsid w:val="00696681"/>
    <w:rsid w:val="006968E5"/>
    <w:rsid w:val="006A41E2"/>
    <w:rsid w:val="006A4B05"/>
    <w:rsid w:val="006A548E"/>
    <w:rsid w:val="006B5B67"/>
    <w:rsid w:val="006C0D1D"/>
    <w:rsid w:val="006C5C3B"/>
    <w:rsid w:val="006C61E9"/>
    <w:rsid w:val="006D05D8"/>
    <w:rsid w:val="006D56A0"/>
    <w:rsid w:val="006E268C"/>
    <w:rsid w:val="006F040F"/>
    <w:rsid w:val="006F1E13"/>
    <w:rsid w:val="006F3C12"/>
    <w:rsid w:val="006F4533"/>
    <w:rsid w:val="006F5ACE"/>
    <w:rsid w:val="006F64DA"/>
    <w:rsid w:val="007027D4"/>
    <w:rsid w:val="007143CA"/>
    <w:rsid w:val="00714C40"/>
    <w:rsid w:val="00715E4F"/>
    <w:rsid w:val="0071685A"/>
    <w:rsid w:val="00720F5A"/>
    <w:rsid w:val="0072518C"/>
    <w:rsid w:val="0072564E"/>
    <w:rsid w:val="007261C3"/>
    <w:rsid w:val="00726282"/>
    <w:rsid w:val="00726B92"/>
    <w:rsid w:val="00727E87"/>
    <w:rsid w:val="00734F22"/>
    <w:rsid w:val="007361AF"/>
    <w:rsid w:val="00741DC4"/>
    <w:rsid w:val="0074216E"/>
    <w:rsid w:val="007476B4"/>
    <w:rsid w:val="007478DA"/>
    <w:rsid w:val="00747C96"/>
    <w:rsid w:val="00761619"/>
    <w:rsid w:val="007620E8"/>
    <w:rsid w:val="00762921"/>
    <w:rsid w:val="00766BB4"/>
    <w:rsid w:val="007736FD"/>
    <w:rsid w:val="00774DDE"/>
    <w:rsid w:val="0077621B"/>
    <w:rsid w:val="00781F1E"/>
    <w:rsid w:val="007837BD"/>
    <w:rsid w:val="0078415E"/>
    <w:rsid w:val="007850C9"/>
    <w:rsid w:val="00790F74"/>
    <w:rsid w:val="00792913"/>
    <w:rsid w:val="007A5060"/>
    <w:rsid w:val="007C7AAC"/>
    <w:rsid w:val="007D0D22"/>
    <w:rsid w:val="007D11F7"/>
    <w:rsid w:val="007E41B8"/>
    <w:rsid w:val="007F17A7"/>
    <w:rsid w:val="007F1A68"/>
    <w:rsid w:val="007F6345"/>
    <w:rsid w:val="007F66E9"/>
    <w:rsid w:val="008008F2"/>
    <w:rsid w:val="008016B6"/>
    <w:rsid w:val="0080361A"/>
    <w:rsid w:val="00804283"/>
    <w:rsid w:val="00806CAF"/>
    <w:rsid w:val="0080791F"/>
    <w:rsid w:val="00815488"/>
    <w:rsid w:val="0081558D"/>
    <w:rsid w:val="00821948"/>
    <w:rsid w:val="00822EE3"/>
    <w:rsid w:val="00823793"/>
    <w:rsid w:val="00824438"/>
    <w:rsid w:val="00830E61"/>
    <w:rsid w:val="00831111"/>
    <w:rsid w:val="00836645"/>
    <w:rsid w:val="00837381"/>
    <w:rsid w:val="00857C22"/>
    <w:rsid w:val="00860B45"/>
    <w:rsid w:val="00860CF3"/>
    <w:rsid w:val="00865007"/>
    <w:rsid w:val="008671BE"/>
    <w:rsid w:val="0087440A"/>
    <w:rsid w:val="008749EF"/>
    <w:rsid w:val="0087657F"/>
    <w:rsid w:val="0088101C"/>
    <w:rsid w:val="008908D4"/>
    <w:rsid w:val="00892376"/>
    <w:rsid w:val="00893A65"/>
    <w:rsid w:val="00894A2F"/>
    <w:rsid w:val="008953F7"/>
    <w:rsid w:val="008A02D6"/>
    <w:rsid w:val="008A5537"/>
    <w:rsid w:val="008B1A84"/>
    <w:rsid w:val="008B35C9"/>
    <w:rsid w:val="008C3D9E"/>
    <w:rsid w:val="008D1226"/>
    <w:rsid w:val="008D2E0C"/>
    <w:rsid w:val="008D327B"/>
    <w:rsid w:val="008D3763"/>
    <w:rsid w:val="008E1CAB"/>
    <w:rsid w:val="008E78DF"/>
    <w:rsid w:val="008F06DC"/>
    <w:rsid w:val="008F1DB4"/>
    <w:rsid w:val="008F2E66"/>
    <w:rsid w:val="008F3008"/>
    <w:rsid w:val="008F4E6A"/>
    <w:rsid w:val="008F64F7"/>
    <w:rsid w:val="00900D70"/>
    <w:rsid w:val="009029E8"/>
    <w:rsid w:val="00913A88"/>
    <w:rsid w:val="00914B22"/>
    <w:rsid w:val="009170CA"/>
    <w:rsid w:val="00917ACA"/>
    <w:rsid w:val="00930399"/>
    <w:rsid w:val="0093289B"/>
    <w:rsid w:val="00933FC4"/>
    <w:rsid w:val="00934FB6"/>
    <w:rsid w:val="00935EA5"/>
    <w:rsid w:val="009362A9"/>
    <w:rsid w:val="00940E4A"/>
    <w:rsid w:val="009462A4"/>
    <w:rsid w:val="009474F2"/>
    <w:rsid w:val="00947F13"/>
    <w:rsid w:val="00954258"/>
    <w:rsid w:val="00957881"/>
    <w:rsid w:val="009655C9"/>
    <w:rsid w:val="009668A9"/>
    <w:rsid w:val="00967035"/>
    <w:rsid w:val="00971D40"/>
    <w:rsid w:val="00977DA6"/>
    <w:rsid w:val="00983339"/>
    <w:rsid w:val="00986DFD"/>
    <w:rsid w:val="00996B82"/>
    <w:rsid w:val="009A48FE"/>
    <w:rsid w:val="009B36A7"/>
    <w:rsid w:val="009C0AE7"/>
    <w:rsid w:val="009C3824"/>
    <w:rsid w:val="009C4748"/>
    <w:rsid w:val="009C4A4F"/>
    <w:rsid w:val="009D021E"/>
    <w:rsid w:val="009D3A7D"/>
    <w:rsid w:val="009D7228"/>
    <w:rsid w:val="009E495D"/>
    <w:rsid w:val="009E75AB"/>
    <w:rsid w:val="009F13AA"/>
    <w:rsid w:val="009F716C"/>
    <w:rsid w:val="00A002B3"/>
    <w:rsid w:val="00A021A4"/>
    <w:rsid w:val="00A02CE9"/>
    <w:rsid w:val="00A038AA"/>
    <w:rsid w:val="00A0708A"/>
    <w:rsid w:val="00A11494"/>
    <w:rsid w:val="00A21690"/>
    <w:rsid w:val="00A24854"/>
    <w:rsid w:val="00A27309"/>
    <w:rsid w:val="00A40DB9"/>
    <w:rsid w:val="00A410CE"/>
    <w:rsid w:val="00A61670"/>
    <w:rsid w:val="00A7322A"/>
    <w:rsid w:val="00A76CDF"/>
    <w:rsid w:val="00A8141C"/>
    <w:rsid w:val="00A847E6"/>
    <w:rsid w:val="00A97818"/>
    <w:rsid w:val="00AA177F"/>
    <w:rsid w:val="00AA72E3"/>
    <w:rsid w:val="00AB0131"/>
    <w:rsid w:val="00AB4FA4"/>
    <w:rsid w:val="00AD0611"/>
    <w:rsid w:val="00AD23B4"/>
    <w:rsid w:val="00AD2DDD"/>
    <w:rsid w:val="00AD502C"/>
    <w:rsid w:val="00AD64A1"/>
    <w:rsid w:val="00AD7CB5"/>
    <w:rsid w:val="00AE14EB"/>
    <w:rsid w:val="00AE5793"/>
    <w:rsid w:val="00AE5AA2"/>
    <w:rsid w:val="00AF2D41"/>
    <w:rsid w:val="00B00D91"/>
    <w:rsid w:val="00B0287F"/>
    <w:rsid w:val="00B03A44"/>
    <w:rsid w:val="00B043A6"/>
    <w:rsid w:val="00B05190"/>
    <w:rsid w:val="00B07595"/>
    <w:rsid w:val="00B103F8"/>
    <w:rsid w:val="00B22BCD"/>
    <w:rsid w:val="00B2365F"/>
    <w:rsid w:val="00B54804"/>
    <w:rsid w:val="00B5488D"/>
    <w:rsid w:val="00B553AD"/>
    <w:rsid w:val="00B60828"/>
    <w:rsid w:val="00B613BE"/>
    <w:rsid w:val="00B62194"/>
    <w:rsid w:val="00B6561F"/>
    <w:rsid w:val="00B66713"/>
    <w:rsid w:val="00B67D57"/>
    <w:rsid w:val="00B71583"/>
    <w:rsid w:val="00B72B08"/>
    <w:rsid w:val="00B75806"/>
    <w:rsid w:val="00B80600"/>
    <w:rsid w:val="00B83642"/>
    <w:rsid w:val="00B8569E"/>
    <w:rsid w:val="00B86258"/>
    <w:rsid w:val="00B91C67"/>
    <w:rsid w:val="00B92F9C"/>
    <w:rsid w:val="00B97059"/>
    <w:rsid w:val="00B97762"/>
    <w:rsid w:val="00BA3455"/>
    <w:rsid w:val="00BA6E76"/>
    <w:rsid w:val="00BC27EC"/>
    <w:rsid w:val="00BC3884"/>
    <w:rsid w:val="00BC3B65"/>
    <w:rsid w:val="00BD2AB1"/>
    <w:rsid w:val="00BD4A3A"/>
    <w:rsid w:val="00BD5A8A"/>
    <w:rsid w:val="00BE0854"/>
    <w:rsid w:val="00BE61D3"/>
    <w:rsid w:val="00BE662A"/>
    <w:rsid w:val="00BF0850"/>
    <w:rsid w:val="00BF5EBF"/>
    <w:rsid w:val="00C06415"/>
    <w:rsid w:val="00C10457"/>
    <w:rsid w:val="00C122CA"/>
    <w:rsid w:val="00C150E0"/>
    <w:rsid w:val="00C1631E"/>
    <w:rsid w:val="00C201FB"/>
    <w:rsid w:val="00C21D44"/>
    <w:rsid w:val="00C267A3"/>
    <w:rsid w:val="00C338CD"/>
    <w:rsid w:val="00C40797"/>
    <w:rsid w:val="00C45A19"/>
    <w:rsid w:val="00C50617"/>
    <w:rsid w:val="00C51C64"/>
    <w:rsid w:val="00C52AC9"/>
    <w:rsid w:val="00C5424D"/>
    <w:rsid w:val="00C54DF4"/>
    <w:rsid w:val="00C56E81"/>
    <w:rsid w:val="00C62604"/>
    <w:rsid w:val="00C629AE"/>
    <w:rsid w:val="00C71B80"/>
    <w:rsid w:val="00C72C76"/>
    <w:rsid w:val="00C73887"/>
    <w:rsid w:val="00C7742D"/>
    <w:rsid w:val="00C80885"/>
    <w:rsid w:val="00C817E0"/>
    <w:rsid w:val="00C81E78"/>
    <w:rsid w:val="00C8307A"/>
    <w:rsid w:val="00C86961"/>
    <w:rsid w:val="00CA1861"/>
    <w:rsid w:val="00CA34C9"/>
    <w:rsid w:val="00CA4A64"/>
    <w:rsid w:val="00CB565B"/>
    <w:rsid w:val="00CB5C09"/>
    <w:rsid w:val="00CC13C9"/>
    <w:rsid w:val="00CC15C8"/>
    <w:rsid w:val="00CC4955"/>
    <w:rsid w:val="00CD10B7"/>
    <w:rsid w:val="00CD5825"/>
    <w:rsid w:val="00CD67EB"/>
    <w:rsid w:val="00CE6A82"/>
    <w:rsid w:val="00CF524F"/>
    <w:rsid w:val="00CF73D2"/>
    <w:rsid w:val="00CF742E"/>
    <w:rsid w:val="00D0145C"/>
    <w:rsid w:val="00D0691F"/>
    <w:rsid w:val="00D07095"/>
    <w:rsid w:val="00D138D3"/>
    <w:rsid w:val="00D201B4"/>
    <w:rsid w:val="00D21661"/>
    <w:rsid w:val="00D22CBA"/>
    <w:rsid w:val="00D23A6D"/>
    <w:rsid w:val="00D24F61"/>
    <w:rsid w:val="00D2663D"/>
    <w:rsid w:val="00D27059"/>
    <w:rsid w:val="00D55964"/>
    <w:rsid w:val="00D565F0"/>
    <w:rsid w:val="00D62E5A"/>
    <w:rsid w:val="00D6590A"/>
    <w:rsid w:val="00D70B4E"/>
    <w:rsid w:val="00D70BC5"/>
    <w:rsid w:val="00D75112"/>
    <w:rsid w:val="00D80791"/>
    <w:rsid w:val="00D82110"/>
    <w:rsid w:val="00D821C7"/>
    <w:rsid w:val="00D8312A"/>
    <w:rsid w:val="00D837CF"/>
    <w:rsid w:val="00D85203"/>
    <w:rsid w:val="00D92717"/>
    <w:rsid w:val="00D95A83"/>
    <w:rsid w:val="00DA2919"/>
    <w:rsid w:val="00DA44BA"/>
    <w:rsid w:val="00DA44D9"/>
    <w:rsid w:val="00DA70A3"/>
    <w:rsid w:val="00DB1753"/>
    <w:rsid w:val="00DC09E7"/>
    <w:rsid w:val="00DC3C8A"/>
    <w:rsid w:val="00DD1128"/>
    <w:rsid w:val="00DD3108"/>
    <w:rsid w:val="00DD7950"/>
    <w:rsid w:val="00DE3E2D"/>
    <w:rsid w:val="00DE6181"/>
    <w:rsid w:val="00DE79D9"/>
    <w:rsid w:val="00DF1E54"/>
    <w:rsid w:val="00DF49E1"/>
    <w:rsid w:val="00DF68E6"/>
    <w:rsid w:val="00DF77FD"/>
    <w:rsid w:val="00E20371"/>
    <w:rsid w:val="00E2234A"/>
    <w:rsid w:val="00E23C83"/>
    <w:rsid w:val="00E25101"/>
    <w:rsid w:val="00E304F0"/>
    <w:rsid w:val="00E32F27"/>
    <w:rsid w:val="00E3390F"/>
    <w:rsid w:val="00E36216"/>
    <w:rsid w:val="00E43934"/>
    <w:rsid w:val="00E45665"/>
    <w:rsid w:val="00E457CC"/>
    <w:rsid w:val="00E55D50"/>
    <w:rsid w:val="00E62257"/>
    <w:rsid w:val="00E75D06"/>
    <w:rsid w:val="00E80570"/>
    <w:rsid w:val="00E84400"/>
    <w:rsid w:val="00E8635C"/>
    <w:rsid w:val="00E9229D"/>
    <w:rsid w:val="00E9573D"/>
    <w:rsid w:val="00E9783C"/>
    <w:rsid w:val="00EA1A2F"/>
    <w:rsid w:val="00EA2959"/>
    <w:rsid w:val="00EA62B2"/>
    <w:rsid w:val="00EA7986"/>
    <w:rsid w:val="00EB15FB"/>
    <w:rsid w:val="00EB4DBF"/>
    <w:rsid w:val="00EC671F"/>
    <w:rsid w:val="00ED111D"/>
    <w:rsid w:val="00ED1C3C"/>
    <w:rsid w:val="00ED3594"/>
    <w:rsid w:val="00ED3E23"/>
    <w:rsid w:val="00EE5052"/>
    <w:rsid w:val="00EF74B6"/>
    <w:rsid w:val="00F01869"/>
    <w:rsid w:val="00F025FD"/>
    <w:rsid w:val="00F0463A"/>
    <w:rsid w:val="00F12B2A"/>
    <w:rsid w:val="00F161F2"/>
    <w:rsid w:val="00F20874"/>
    <w:rsid w:val="00F30684"/>
    <w:rsid w:val="00F3358C"/>
    <w:rsid w:val="00F35331"/>
    <w:rsid w:val="00F35C10"/>
    <w:rsid w:val="00F42C44"/>
    <w:rsid w:val="00F42CE3"/>
    <w:rsid w:val="00F46BD5"/>
    <w:rsid w:val="00F47EA7"/>
    <w:rsid w:val="00F56532"/>
    <w:rsid w:val="00F611C1"/>
    <w:rsid w:val="00F64E6B"/>
    <w:rsid w:val="00F72229"/>
    <w:rsid w:val="00F7790E"/>
    <w:rsid w:val="00F91B17"/>
    <w:rsid w:val="00F924ED"/>
    <w:rsid w:val="00FA3952"/>
    <w:rsid w:val="00FA5A5C"/>
    <w:rsid w:val="00FB750B"/>
    <w:rsid w:val="00FC1EE3"/>
    <w:rsid w:val="00FC28BD"/>
    <w:rsid w:val="00FC7773"/>
    <w:rsid w:val="00FD6FBD"/>
    <w:rsid w:val="00FD7E19"/>
    <w:rsid w:val="00FD7EAA"/>
    <w:rsid w:val="00FF0E7F"/>
    <w:rsid w:val="00FF14D1"/>
    <w:rsid w:val="00FF5E4B"/>
    <w:rsid w:val="00FF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16E0A26C"/>
  <w15:docId w15:val="{0B65FF66-C8FB-4B02-B53C-20DBF57F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Titre1">
    <w:name w:val="heading 1"/>
    <w:basedOn w:val="Normal"/>
    <w:next w:val="Text1"/>
    <w:link w:val="Titre1Car"/>
    <w:uiPriority w:val="9"/>
    <w:qFormat/>
    <w:rsid w:val="002F7C7D"/>
    <w:pPr>
      <w:keepNext/>
      <w:numPr>
        <w:numId w:val="19"/>
      </w:numPr>
      <w:spacing w:before="240" w:after="240"/>
      <w:ind w:left="851" w:hanging="851"/>
      <w:outlineLvl w:val="0"/>
    </w:pPr>
    <w:rPr>
      <w:rFonts w:eastAsiaTheme="majorEastAsia"/>
      <w:b/>
      <w:bCs/>
      <w:smallCaps/>
      <w:szCs w:val="28"/>
    </w:rPr>
  </w:style>
  <w:style w:type="paragraph" w:styleId="Titre2">
    <w:name w:val="heading 2"/>
    <w:basedOn w:val="Normal"/>
    <w:next w:val="Text1"/>
    <w:link w:val="Titre2Car"/>
    <w:uiPriority w:val="9"/>
    <w:unhideWhenUsed/>
    <w:qFormat/>
    <w:rsid w:val="002F7C7D"/>
    <w:pPr>
      <w:keepNext/>
      <w:numPr>
        <w:ilvl w:val="1"/>
        <w:numId w:val="19"/>
      </w:numPr>
      <w:spacing w:before="240" w:after="240"/>
      <w:ind w:left="851" w:hanging="851"/>
      <w:outlineLvl w:val="1"/>
    </w:pPr>
    <w:rPr>
      <w:rFonts w:eastAsiaTheme="majorEastAsia"/>
      <w:b/>
      <w:bCs/>
      <w:szCs w:val="26"/>
    </w:rPr>
  </w:style>
  <w:style w:type="paragraph" w:styleId="Titre3">
    <w:name w:val="heading 3"/>
    <w:basedOn w:val="Normal"/>
    <w:next w:val="Text1"/>
    <w:link w:val="Titre3Car"/>
    <w:uiPriority w:val="9"/>
    <w:semiHidden/>
    <w:unhideWhenUsed/>
    <w:qFormat/>
    <w:pPr>
      <w:keepNext/>
      <w:numPr>
        <w:ilvl w:val="2"/>
        <w:numId w:val="19"/>
      </w:numPr>
      <w:outlineLvl w:val="2"/>
    </w:pPr>
    <w:rPr>
      <w:rFonts w:eastAsiaTheme="majorEastAsia"/>
      <w:bCs/>
      <w:i/>
    </w:rPr>
  </w:style>
  <w:style w:type="paragraph" w:styleId="Titre4">
    <w:name w:val="heading 4"/>
    <w:basedOn w:val="Normal"/>
    <w:next w:val="Text1"/>
    <w:link w:val="Titre4Car"/>
    <w:uiPriority w:val="9"/>
    <w:semiHidden/>
    <w:unhideWhenUsed/>
    <w:qFormat/>
    <w:pPr>
      <w:keepNext/>
      <w:numPr>
        <w:ilvl w:val="3"/>
        <w:numId w:val="19"/>
      </w:numPr>
      <w:outlineLvl w:val="3"/>
    </w:pPr>
    <w:rPr>
      <w:rFonts w:eastAsiaTheme="majorEastAsia"/>
      <w:bCs/>
      <w:iCs/>
    </w:rPr>
  </w:style>
  <w:style w:type="paragraph" w:styleId="Titre5">
    <w:name w:val="heading 5"/>
    <w:basedOn w:val="Normal"/>
    <w:next w:val="Text2"/>
    <w:link w:val="Titre5Car"/>
    <w:uiPriority w:val="9"/>
    <w:semiHidden/>
    <w:unhideWhenUsed/>
    <w:qFormat/>
    <w:pPr>
      <w:keepNext/>
      <w:numPr>
        <w:ilvl w:val="4"/>
        <w:numId w:val="19"/>
      </w:numPr>
      <w:outlineLvl w:val="4"/>
    </w:pPr>
    <w:rPr>
      <w:rFonts w:eastAsiaTheme="majorEastAsia"/>
    </w:rPr>
  </w:style>
  <w:style w:type="paragraph" w:styleId="Titre6">
    <w:name w:val="heading 6"/>
    <w:basedOn w:val="Normal"/>
    <w:next w:val="Text2"/>
    <w:link w:val="Titre6Car"/>
    <w:uiPriority w:val="9"/>
    <w:semiHidden/>
    <w:unhideWhenUsed/>
    <w:qFormat/>
    <w:pPr>
      <w:keepNext/>
      <w:numPr>
        <w:ilvl w:val="5"/>
        <w:numId w:val="19"/>
      </w:numPr>
      <w:outlineLvl w:val="5"/>
    </w:pPr>
    <w:rPr>
      <w:rFonts w:eastAsiaTheme="majorEastAsia"/>
      <w:iCs/>
    </w:rPr>
  </w:style>
  <w:style w:type="paragraph" w:styleId="Titre7">
    <w:name w:val="heading 7"/>
    <w:basedOn w:val="Normal"/>
    <w:next w:val="Text2"/>
    <w:link w:val="Titre7Car"/>
    <w:uiPriority w:val="9"/>
    <w:semiHidden/>
    <w:unhideWhenUsed/>
    <w:qFormat/>
    <w:pPr>
      <w:keepNext/>
      <w:numPr>
        <w:ilvl w:val="6"/>
        <w:numId w:val="19"/>
      </w:numPr>
      <w:outlineLvl w:val="6"/>
    </w:pPr>
    <w:rPr>
      <w:rFonts w:eastAsiaTheme="majorEastAsia"/>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7657F"/>
    <w:rPr>
      <w:sz w:val="16"/>
      <w:szCs w:val="16"/>
    </w:rPr>
  </w:style>
  <w:style w:type="paragraph" w:styleId="Commentaire">
    <w:name w:val="annotation text"/>
    <w:basedOn w:val="Normal"/>
    <w:link w:val="CommentaireCar"/>
    <w:uiPriority w:val="99"/>
    <w:unhideWhenUsed/>
    <w:rsid w:val="0087657F"/>
    <w:rPr>
      <w:sz w:val="20"/>
      <w:szCs w:val="20"/>
    </w:rPr>
  </w:style>
  <w:style w:type="character" w:customStyle="1" w:styleId="CommentaireCar">
    <w:name w:val="Commentaire Car"/>
    <w:basedOn w:val="Policepardfaut"/>
    <w:link w:val="Commentaire"/>
    <w:uiPriority w:val="99"/>
    <w:rsid w:val="0087657F"/>
    <w:rPr>
      <w:rFonts w:ascii="Times New Roman" w:hAnsi="Times New Roman" w:cs="Times New Roman"/>
      <w:sz w:val="20"/>
      <w:szCs w:val="20"/>
      <w:lang w:val="en-GB"/>
    </w:rPr>
  </w:style>
  <w:style w:type="paragraph" w:styleId="Paragraphedeliste">
    <w:name w:val="List Paragraph"/>
    <w:basedOn w:val="Normal"/>
    <w:uiPriority w:val="34"/>
    <w:qFormat/>
    <w:rsid w:val="0087657F"/>
    <w:pPr>
      <w:ind w:left="720"/>
      <w:contextualSpacing/>
    </w:pPr>
  </w:style>
  <w:style w:type="table" w:styleId="Grilledutableau">
    <w:name w:val="Table Grid"/>
    <w:basedOn w:val="TableauNormal"/>
    <w:uiPriority w:val="59"/>
    <w:rsid w:val="00876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87657F"/>
    <w:pPr>
      <w:spacing w:before="0" w:after="200"/>
    </w:pPr>
    <w:rPr>
      <w:i/>
      <w:iCs/>
      <w:color w:val="1F497D" w:themeColor="text2"/>
      <w:sz w:val="18"/>
      <w:szCs w:val="18"/>
    </w:rPr>
  </w:style>
  <w:style w:type="character" w:customStyle="1" w:styleId="Mention1">
    <w:name w:val="Mention1"/>
    <w:basedOn w:val="Policepardfaut"/>
    <w:uiPriority w:val="99"/>
    <w:unhideWhenUsed/>
    <w:rsid w:val="0087657F"/>
    <w:rPr>
      <w:color w:val="2B579A"/>
      <w:shd w:val="clear" w:color="auto" w:fill="E6E6E6"/>
    </w:rPr>
  </w:style>
  <w:style w:type="table" w:styleId="Grilledetableauclaire">
    <w:name w:val="Grid Table Light"/>
    <w:basedOn w:val="TableauNormal"/>
    <w:uiPriority w:val="40"/>
    <w:rsid w:val="008765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edebulles">
    <w:name w:val="Balloon Text"/>
    <w:basedOn w:val="Normal"/>
    <w:link w:val="TextedebullesCar"/>
    <w:uiPriority w:val="99"/>
    <w:semiHidden/>
    <w:unhideWhenUsed/>
    <w:rsid w:val="0087657F"/>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657F"/>
    <w:rPr>
      <w:rFonts w:ascii="Segoe UI" w:hAnsi="Segoe UI" w:cs="Segoe UI"/>
      <w:sz w:val="18"/>
      <w:szCs w:val="18"/>
      <w:lang w:val="en-GB"/>
    </w:rPr>
  </w:style>
  <w:style w:type="paragraph" w:styleId="Tabledesillustrations">
    <w:name w:val="table of figures"/>
    <w:basedOn w:val="Normal"/>
    <w:next w:val="Normal"/>
    <w:uiPriority w:val="99"/>
    <w:semiHidden/>
    <w:unhideWhenUsed/>
    <w:rsid w:val="00244A46"/>
    <w:pPr>
      <w:spacing w:after="0"/>
    </w:pPr>
  </w:style>
  <w:style w:type="paragraph" w:styleId="Listepuces">
    <w:name w:val="List Bullet"/>
    <w:basedOn w:val="Normal"/>
    <w:uiPriority w:val="99"/>
    <w:semiHidden/>
    <w:unhideWhenUsed/>
    <w:rsid w:val="00244A46"/>
    <w:pPr>
      <w:numPr>
        <w:numId w:val="2"/>
      </w:numPr>
      <w:contextualSpacing/>
    </w:pPr>
  </w:style>
  <w:style w:type="paragraph" w:styleId="Listepuces2">
    <w:name w:val="List Bullet 2"/>
    <w:basedOn w:val="Normal"/>
    <w:uiPriority w:val="99"/>
    <w:semiHidden/>
    <w:unhideWhenUsed/>
    <w:rsid w:val="00244A46"/>
    <w:pPr>
      <w:numPr>
        <w:numId w:val="3"/>
      </w:numPr>
      <w:contextualSpacing/>
    </w:pPr>
  </w:style>
  <w:style w:type="paragraph" w:styleId="Listepuces3">
    <w:name w:val="List Bullet 3"/>
    <w:basedOn w:val="Normal"/>
    <w:uiPriority w:val="99"/>
    <w:semiHidden/>
    <w:unhideWhenUsed/>
    <w:rsid w:val="00244A46"/>
    <w:pPr>
      <w:numPr>
        <w:numId w:val="4"/>
      </w:numPr>
      <w:contextualSpacing/>
    </w:pPr>
  </w:style>
  <w:style w:type="paragraph" w:styleId="Listepuces4">
    <w:name w:val="List Bullet 4"/>
    <w:basedOn w:val="Normal"/>
    <w:uiPriority w:val="99"/>
    <w:semiHidden/>
    <w:unhideWhenUsed/>
    <w:rsid w:val="00244A46"/>
    <w:pPr>
      <w:numPr>
        <w:numId w:val="5"/>
      </w:numPr>
      <w:contextualSpacing/>
    </w:pPr>
  </w:style>
  <w:style w:type="paragraph" w:styleId="Listenumros">
    <w:name w:val="List Number"/>
    <w:basedOn w:val="Normal"/>
    <w:uiPriority w:val="99"/>
    <w:semiHidden/>
    <w:unhideWhenUsed/>
    <w:rsid w:val="00244A46"/>
    <w:pPr>
      <w:numPr>
        <w:numId w:val="6"/>
      </w:numPr>
      <w:contextualSpacing/>
    </w:pPr>
  </w:style>
  <w:style w:type="paragraph" w:styleId="Listenumros2">
    <w:name w:val="List Number 2"/>
    <w:basedOn w:val="Normal"/>
    <w:uiPriority w:val="99"/>
    <w:semiHidden/>
    <w:unhideWhenUsed/>
    <w:rsid w:val="00244A46"/>
    <w:pPr>
      <w:numPr>
        <w:numId w:val="7"/>
      </w:numPr>
      <w:contextualSpacing/>
    </w:pPr>
  </w:style>
  <w:style w:type="paragraph" w:styleId="Listenumros3">
    <w:name w:val="List Number 3"/>
    <w:basedOn w:val="Normal"/>
    <w:uiPriority w:val="99"/>
    <w:semiHidden/>
    <w:unhideWhenUsed/>
    <w:rsid w:val="00244A46"/>
    <w:pPr>
      <w:numPr>
        <w:numId w:val="8"/>
      </w:numPr>
      <w:contextualSpacing/>
    </w:pPr>
  </w:style>
  <w:style w:type="paragraph" w:styleId="Listenumros4">
    <w:name w:val="List Number 4"/>
    <w:basedOn w:val="Normal"/>
    <w:uiPriority w:val="99"/>
    <w:semiHidden/>
    <w:unhideWhenUsed/>
    <w:rsid w:val="00244A46"/>
    <w:pPr>
      <w:numPr>
        <w:numId w:val="9"/>
      </w:numPr>
      <w:contextualSpacing/>
    </w:pPr>
  </w:style>
  <w:style w:type="paragraph" w:styleId="Rvision">
    <w:name w:val="Revision"/>
    <w:hidden/>
    <w:uiPriority w:val="99"/>
    <w:semiHidden/>
    <w:rsid w:val="00C8307A"/>
    <w:pPr>
      <w:spacing w:after="0" w:line="240" w:lineRule="auto"/>
    </w:pPr>
    <w:rPr>
      <w:rFonts w:ascii="Times New Roman" w:hAnsi="Times New Roman" w:cs="Times New Roman"/>
      <w:sz w:val="24"/>
      <w:lang w:val="en-GB"/>
    </w:rPr>
  </w:style>
  <w:style w:type="paragraph" w:styleId="Objetducommentaire">
    <w:name w:val="annotation subject"/>
    <w:basedOn w:val="Commentaire"/>
    <w:next w:val="Commentaire"/>
    <w:link w:val="ObjetducommentaireCar"/>
    <w:uiPriority w:val="99"/>
    <w:semiHidden/>
    <w:unhideWhenUsed/>
    <w:rsid w:val="00AD502C"/>
    <w:rPr>
      <w:b/>
      <w:bCs/>
    </w:rPr>
  </w:style>
  <w:style w:type="character" w:customStyle="1" w:styleId="ObjetducommentaireCar">
    <w:name w:val="Objet du commentaire Car"/>
    <w:basedOn w:val="CommentaireCar"/>
    <w:link w:val="Objetducommentaire"/>
    <w:uiPriority w:val="99"/>
    <w:semiHidden/>
    <w:rsid w:val="00AD502C"/>
    <w:rPr>
      <w:rFonts w:ascii="Times New Roman" w:hAnsi="Times New Roman" w:cs="Times New Roman"/>
      <w:b/>
      <w:bCs/>
      <w:sz w:val="20"/>
      <w:szCs w:val="20"/>
      <w:lang w:val="en-GB"/>
    </w:rPr>
  </w:style>
  <w:style w:type="character" w:styleId="Lienhypertexte">
    <w:name w:val="Hyperlink"/>
    <w:basedOn w:val="Policepardfaut"/>
    <w:uiPriority w:val="99"/>
    <w:unhideWhenUsed/>
    <w:rsid w:val="00AD502C"/>
    <w:rPr>
      <w:color w:val="0000FF" w:themeColor="hyperlink"/>
      <w:u w:val="single"/>
    </w:rPr>
  </w:style>
  <w:style w:type="table" w:styleId="TableauGrille1Clair">
    <w:name w:val="Grid Table 1 Light"/>
    <w:basedOn w:val="TableauNormal"/>
    <w:uiPriority w:val="46"/>
    <w:rsid w:val="00AD502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Liste1Clair">
    <w:name w:val="List Table 1 Light"/>
    <w:basedOn w:val="TableauNormal"/>
    <w:uiPriority w:val="46"/>
    <w:rsid w:val="00AD502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simple1">
    <w:name w:val="Plain Table 1"/>
    <w:basedOn w:val="TableauNormal"/>
    <w:uiPriority w:val="41"/>
    <w:rsid w:val="00AD50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enhypertextesuivivisit">
    <w:name w:val="FollowedHyperlink"/>
    <w:basedOn w:val="Policepardfaut"/>
    <w:uiPriority w:val="99"/>
    <w:semiHidden/>
    <w:unhideWhenUsed/>
    <w:rsid w:val="00141E24"/>
    <w:rPr>
      <w:color w:val="800080" w:themeColor="followedHyperlink"/>
      <w:u w:val="single"/>
    </w:rPr>
  </w:style>
  <w:style w:type="paragraph" w:styleId="En-tte">
    <w:name w:val="header"/>
    <w:basedOn w:val="Normal"/>
    <w:link w:val="En-tteCar"/>
    <w:uiPriority w:val="99"/>
    <w:unhideWhenUsed/>
    <w:rsid w:val="00531164"/>
    <w:pPr>
      <w:tabs>
        <w:tab w:val="center" w:pos="4535"/>
        <w:tab w:val="right" w:pos="9071"/>
      </w:tabs>
      <w:spacing w:before="0"/>
    </w:pPr>
  </w:style>
  <w:style w:type="character" w:customStyle="1" w:styleId="En-tteCar">
    <w:name w:val="En-tête Car"/>
    <w:basedOn w:val="Policepardfaut"/>
    <w:link w:val="En-tte"/>
    <w:uiPriority w:val="99"/>
    <w:rsid w:val="00531164"/>
    <w:rPr>
      <w:rFonts w:ascii="Times New Roman" w:hAnsi="Times New Roman" w:cs="Times New Roman"/>
      <w:sz w:val="24"/>
      <w:lang w:val="en-GB"/>
    </w:rPr>
  </w:style>
  <w:style w:type="paragraph" w:styleId="Pieddepage">
    <w:name w:val="footer"/>
    <w:basedOn w:val="Normal"/>
    <w:link w:val="PieddepageCar"/>
    <w:uiPriority w:val="99"/>
    <w:unhideWhenUsed/>
    <w:rsid w:val="00531164"/>
    <w:pPr>
      <w:tabs>
        <w:tab w:val="center" w:pos="4535"/>
        <w:tab w:val="right" w:pos="9071"/>
        <w:tab w:val="right" w:pos="9921"/>
      </w:tabs>
      <w:spacing w:before="360" w:after="0"/>
      <w:ind w:left="-850" w:right="-850"/>
      <w:jc w:val="left"/>
    </w:pPr>
  </w:style>
  <w:style w:type="character" w:customStyle="1" w:styleId="PieddepageCar">
    <w:name w:val="Pied de page Car"/>
    <w:basedOn w:val="Policepardfaut"/>
    <w:link w:val="Pieddepage"/>
    <w:uiPriority w:val="99"/>
    <w:rsid w:val="00531164"/>
    <w:rPr>
      <w:rFonts w:ascii="Times New Roman" w:hAnsi="Times New Roman" w:cs="Times New Roman"/>
      <w:sz w:val="24"/>
      <w:lang w:val="en-GB"/>
    </w:rPr>
  </w:style>
  <w:style w:type="paragraph" w:styleId="Notedebasdepage">
    <w:name w:val="footnote text"/>
    <w:basedOn w:val="Normal"/>
    <w:link w:val="NotedebasdepageCar"/>
    <w:uiPriority w:val="99"/>
    <w:semiHidden/>
    <w:unhideWhenUsed/>
    <w:pPr>
      <w:spacing w:before="0" w:after="0"/>
      <w:ind w:left="720" w:hanging="720"/>
    </w:pPr>
    <w:rPr>
      <w:sz w:val="20"/>
      <w:szCs w:val="20"/>
    </w:rPr>
  </w:style>
  <w:style w:type="character" w:customStyle="1" w:styleId="NotedebasdepageCar">
    <w:name w:val="Note de bas de page Car"/>
    <w:basedOn w:val="Policepardfaut"/>
    <w:link w:val="Notedebasdepage"/>
    <w:uiPriority w:val="99"/>
    <w:semiHidden/>
    <w:rPr>
      <w:rFonts w:ascii="Times New Roman" w:hAnsi="Times New Roman" w:cs="Times New Roman"/>
      <w:sz w:val="20"/>
      <w:szCs w:val="20"/>
      <w:shd w:val="clear" w:color="auto" w:fill="auto"/>
      <w:lang w:val="en-GB"/>
    </w:rPr>
  </w:style>
  <w:style w:type="character" w:customStyle="1" w:styleId="Titre1Car">
    <w:name w:val="Titre 1 Car"/>
    <w:basedOn w:val="Policepardfaut"/>
    <w:link w:val="Titre1"/>
    <w:uiPriority w:val="9"/>
    <w:rsid w:val="002F7C7D"/>
    <w:rPr>
      <w:rFonts w:ascii="Times New Roman" w:eastAsiaTheme="majorEastAsia" w:hAnsi="Times New Roman" w:cs="Times New Roman"/>
      <w:b/>
      <w:bCs/>
      <w:smallCaps/>
      <w:sz w:val="24"/>
      <w:szCs w:val="28"/>
      <w:lang w:val="en-GB"/>
    </w:rPr>
  </w:style>
  <w:style w:type="character" w:customStyle="1" w:styleId="Titre2Car">
    <w:name w:val="Titre 2 Car"/>
    <w:basedOn w:val="Policepardfaut"/>
    <w:link w:val="Titre2"/>
    <w:uiPriority w:val="9"/>
    <w:rsid w:val="002F7C7D"/>
    <w:rPr>
      <w:rFonts w:ascii="Times New Roman" w:eastAsiaTheme="majorEastAsia" w:hAnsi="Times New Roman" w:cs="Times New Roman"/>
      <w:b/>
      <w:bCs/>
      <w:sz w:val="24"/>
      <w:szCs w:val="26"/>
      <w:lang w:val="en-GB"/>
    </w:rPr>
  </w:style>
  <w:style w:type="character" w:customStyle="1" w:styleId="Titre3Car">
    <w:name w:val="Titre 3 Car"/>
    <w:basedOn w:val="Policepardfaut"/>
    <w:link w:val="Titre3"/>
    <w:uiPriority w:val="9"/>
    <w:semiHidden/>
    <w:rPr>
      <w:rFonts w:ascii="Times New Roman" w:eastAsiaTheme="majorEastAsia" w:hAnsi="Times New Roman" w:cs="Times New Roman"/>
      <w:bCs/>
      <w:i/>
      <w:sz w:val="24"/>
      <w:lang w:val="en-GB"/>
    </w:rPr>
  </w:style>
  <w:style w:type="character" w:customStyle="1" w:styleId="Titre4Car">
    <w:name w:val="Titre 4 Car"/>
    <w:basedOn w:val="Policepardfaut"/>
    <w:link w:val="Titre4"/>
    <w:uiPriority w:val="9"/>
    <w:semiHidden/>
    <w:rPr>
      <w:rFonts w:ascii="Times New Roman" w:eastAsiaTheme="majorEastAsia" w:hAnsi="Times New Roman" w:cs="Times New Roman"/>
      <w:bCs/>
      <w:iCs/>
      <w:sz w:val="24"/>
      <w:lang w:val="en-GB"/>
    </w:rPr>
  </w:style>
  <w:style w:type="character" w:customStyle="1" w:styleId="Titre5Car">
    <w:name w:val="Titre 5 Car"/>
    <w:basedOn w:val="Policepardfaut"/>
    <w:link w:val="Titre5"/>
    <w:uiPriority w:val="9"/>
    <w:semiHidden/>
    <w:rPr>
      <w:rFonts w:ascii="Times New Roman" w:eastAsiaTheme="majorEastAsia" w:hAnsi="Times New Roman" w:cs="Times New Roman"/>
      <w:sz w:val="24"/>
      <w:lang w:val="en-GB"/>
    </w:rPr>
  </w:style>
  <w:style w:type="character" w:customStyle="1" w:styleId="Titre6Car">
    <w:name w:val="Titre 6 Car"/>
    <w:basedOn w:val="Policepardfaut"/>
    <w:link w:val="Titre6"/>
    <w:uiPriority w:val="9"/>
    <w:semiHidden/>
    <w:rPr>
      <w:rFonts w:ascii="Times New Roman" w:eastAsiaTheme="majorEastAsia" w:hAnsi="Times New Roman" w:cs="Times New Roman"/>
      <w:iCs/>
      <w:sz w:val="24"/>
      <w:lang w:val="en-GB"/>
    </w:rPr>
  </w:style>
  <w:style w:type="character" w:customStyle="1" w:styleId="Titre7Car">
    <w:name w:val="Titre 7 Car"/>
    <w:basedOn w:val="Policepardfaut"/>
    <w:link w:val="Titre7"/>
    <w:uiPriority w:val="9"/>
    <w:semiHidden/>
    <w:rPr>
      <w:rFonts w:ascii="Times New Roman" w:eastAsiaTheme="majorEastAsia" w:hAnsi="Times New Roman" w:cs="Times New Roman"/>
      <w:iCs/>
      <w:sz w:val="24"/>
      <w:lang w:val="en-GB"/>
    </w:rPr>
  </w:style>
  <w:style w:type="paragraph" w:styleId="En-ttedetabledesmatires">
    <w:name w:val="TOC Heading"/>
    <w:basedOn w:val="Normal"/>
    <w:next w:val="Normal"/>
    <w:uiPriority w:val="39"/>
    <w:semiHidden/>
    <w:unhideWhenUsed/>
    <w:qFormat/>
    <w:pPr>
      <w:spacing w:after="240"/>
      <w:jc w:val="center"/>
    </w:pPr>
    <w:rPr>
      <w:b/>
      <w:sz w:val="28"/>
    </w:rPr>
  </w:style>
  <w:style w:type="paragraph" w:styleId="TM1">
    <w:name w:val="toc 1"/>
    <w:basedOn w:val="Normal"/>
    <w:next w:val="Normal"/>
    <w:uiPriority w:val="39"/>
    <w:semiHidden/>
    <w:unhideWhenUsed/>
    <w:pPr>
      <w:tabs>
        <w:tab w:val="right" w:leader="dot" w:pos="9071"/>
      </w:tabs>
      <w:spacing w:before="60"/>
      <w:ind w:left="850" w:hanging="850"/>
      <w:jc w:val="left"/>
    </w:pPr>
  </w:style>
  <w:style w:type="paragraph" w:styleId="TM2">
    <w:name w:val="toc 2"/>
    <w:basedOn w:val="Normal"/>
    <w:next w:val="Normal"/>
    <w:uiPriority w:val="39"/>
    <w:semiHidden/>
    <w:unhideWhenUsed/>
    <w:pPr>
      <w:tabs>
        <w:tab w:val="right" w:leader="dot" w:pos="9071"/>
      </w:tabs>
      <w:spacing w:before="60"/>
      <w:ind w:left="850" w:hanging="850"/>
      <w:jc w:val="left"/>
    </w:pPr>
  </w:style>
  <w:style w:type="paragraph" w:styleId="TM3">
    <w:name w:val="toc 3"/>
    <w:basedOn w:val="Normal"/>
    <w:next w:val="Normal"/>
    <w:uiPriority w:val="39"/>
    <w:semiHidden/>
    <w:unhideWhenUsed/>
    <w:pPr>
      <w:tabs>
        <w:tab w:val="right" w:leader="dot" w:pos="9071"/>
      </w:tabs>
      <w:spacing w:before="60"/>
      <w:ind w:left="850" w:hanging="850"/>
      <w:jc w:val="left"/>
    </w:pPr>
  </w:style>
  <w:style w:type="paragraph" w:styleId="TM4">
    <w:name w:val="toc 4"/>
    <w:basedOn w:val="Normal"/>
    <w:next w:val="Normal"/>
    <w:uiPriority w:val="39"/>
    <w:semiHidden/>
    <w:unhideWhenUsed/>
    <w:pPr>
      <w:tabs>
        <w:tab w:val="right" w:leader="dot" w:pos="9071"/>
      </w:tabs>
      <w:spacing w:before="60"/>
      <w:ind w:left="850" w:hanging="850"/>
      <w:jc w:val="left"/>
    </w:pPr>
  </w:style>
  <w:style w:type="paragraph" w:styleId="TM5">
    <w:name w:val="toc 5"/>
    <w:basedOn w:val="Normal"/>
    <w:next w:val="Normal"/>
    <w:uiPriority w:val="39"/>
    <w:semiHidden/>
    <w:unhideWhenUsed/>
    <w:pPr>
      <w:tabs>
        <w:tab w:val="right" w:leader="dot" w:pos="9071"/>
      </w:tabs>
      <w:spacing w:before="300"/>
      <w:jc w:val="left"/>
    </w:pPr>
  </w:style>
  <w:style w:type="paragraph" w:styleId="TM6">
    <w:name w:val="toc 6"/>
    <w:basedOn w:val="Normal"/>
    <w:next w:val="Normal"/>
    <w:uiPriority w:val="39"/>
    <w:semiHidden/>
    <w:unhideWhenUsed/>
    <w:pPr>
      <w:tabs>
        <w:tab w:val="right" w:leader="dot" w:pos="9071"/>
      </w:tabs>
      <w:spacing w:before="240"/>
      <w:jc w:val="left"/>
    </w:pPr>
  </w:style>
  <w:style w:type="paragraph" w:styleId="TM7">
    <w:name w:val="toc 7"/>
    <w:basedOn w:val="Normal"/>
    <w:next w:val="Normal"/>
    <w:uiPriority w:val="39"/>
    <w:semiHidden/>
    <w:unhideWhenUsed/>
    <w:pPr>
      <w:tabs>
        <w:tab w:val="right" w:leader="dot" w:pos="9071"/>
      </w:tabs>
      <w:spacing w:before="180"/>
      <w:jc w:val="left"/>
    </w:pPr>
  </w:style>
  <w:style w:type="paragraph" w:styleId="TM8">
    <w:name w:val="toc 8"/>
    <w:basedOn w:val="Normal"/>
    <w:next w:val="Normal"/>
    <w:uiPriority w:val="39"/>
    <w:semiHidden/>
    <w:unhideWhenUsed/>
    <w:pPr>
      <w:tabs>
        <w:tab w:val="right" w:leader="dot" w:pos="9071"/>
      </w:tabs>
      <w:jc w:val="left"/>
    </w:pPr>
  </w:style>
  <w:style w:type="paragraph" w:styleId="TM9">
    <w:name w:val="toc 9"/>
    <w:basedOn w:val="Normal"/>
    <w:next w:val="Normal"/>
    <w:uiPriority w:val="39"/>
    <w:semiHidden/>
    <w:unhideWhenUsed/>
    <w:pPr>
      <w:tabs>
        <w:tab w:val="right" w:leader="dot" w:pos="9071"/>
      </w:tabs>
      <w:ind w:left="1417" w:hanging="1417"/>
      <w:jc w:val="left"/>
    </w:pPr>
  </w:style>
  <w:style w:type="paragraph" w:customStyle="1" w:styleId="HeaderLandscape">
    <w:name w:val="HeaderLandscape"/>
    <w:basedOn w:val="Normal"/>
    <w:rsid w:val="00531164"/>
    <w:pPr>
      <w:tabs>
        <w:tab w:val="center" w:pos="7285"/>
        <w:tab w:val="right" w:pos="14003"/>
      </w:tabs>
      <w:spacing w:before="0"/>
    </w:pPr>
  </w:style>
  <w:style w:type="paragraph" w:customStyle="1" w:styleId="FooterLandscape">
    <w:name w:val="FooterLandscape"/>
    <w:basedOn w:val="Normal"/>
    <w:rsid w:val="00531164"/>
    <w:pPr>
      <w:tabs>
        <w:tab w:val="center" w:pos="7285"/>
        <w:tab w:val="center" w:pos="10913"/>
        <w:tab w:val="right" w:pos="15137"/>
      </w:tabs>
      <w:spacing w:before="360" w:after="0"/>
      <w:ind w:left="-567" w:right="-567"/>
      <w:jc w:val="left"/>
    </w:pPr>
  </w:style>
  <w:style w:type="character" w:styleId="Appelnotedebasdep">
    <w:name w:val="footnote reference"/>
    <w:basedOn w:val="Policepardfaut"/>
    <w:uiPriority w:val="99"/>
    <w:semiHidden/>
    <w:unhideWhenUsed/>
    <w:rPr>
      <w:shd w:val="clear" w:color="auto" w:fill="auto"/>
      <w:vertAlign w:val="superscript"/>
    </w:rPr>
  </w:style>
  <w:style w:type="paragraph" w:customStyle="1" w:styleId="HeaderSensitivity">
    <w:name w:val="Header Sensitivity"/>
    <w:basedOn w:val="Normal"/>
    <w:rsid w:val="00531164"/>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531164"/>
    <w:pPr>
      <w:spacing w:before="0"/>
      <w:jc w:val="right"/>
    </w:pPr>
    <w:rPr>
      <w:sz w:val="28"/>
    </w:rPr>
  </w:style>
  <w:style w:type="paragraph" w:customStyle="1" w:styleId="FooterSensitivity">
    <w:name w:val="Footer Sensitivity"/>
    <w:basedOn w:val="Normal"/>
    <w:rsid w:val="00531164"/>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Tiret5">
    <w:name w:val="Tiret 5"/>
    <w:basedOn w:val="Point5"/>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NumPar5">
    <w:name w:val="NumPar 5"/>
    <w:basedOn w:val="Normal"/>
    <w:next w:val="Text2"/>
    <w:pPr>
      <w:numPr>
        <w:ilvl w:val="4"/>
        <w:numId w:val="18"/>
      </w:numPr>
    </w:pPr>
  </w:style>
  <w:style w:type="paragraph" w:customStyle="1" w:styleId="NumPar6">
    <w:name w:val="NumPar 6"/>
    <w:basedOn w:val="Normal"/>
    <w:next w:val="Text2"/>
    <w:pPr>
      <w:numPr>
        <w:ilvl w:val="5"/>
        <w:numId w:val="18"/>
      </w:numPr>
    </w:pPr>
  </w:style>
  <w:style w:type="paragraph" w:customStyle="1" w:styleId="NumPar7">
    <w:name w:val="NumPar 7"/>
    <w:basedOn w:val="Normal"/>
    <w:next w:val="Text2"/>
    <w:pPr>
      <w:numPr>
        <w:ilvl w:val="6"/>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Titre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Policepardfaut"/>
    <w:rPr>
      <w:color w:val="0000FF"/>
      <w:shd w:val="clear" w:color="auto" w:fill="auto"/>
    </w:rPr>
  </w:style>
  <w:style w:type="character" w:customStyle="1" w:styleId="Marker1">
    <w:name w:val="Marker1"/>
    <w:basedOn w:val="Policepardfaut"/>
    <w:rPr>
      <w:color w:val="008000"/>
      <w:shd w:val="clear" w:color="auto" w:fill="auto"/>
    </w:rPr>
  </w:style>
  <w:style w:type="character" w:customStyle="1" w:styleId="Marker2">
    <w:name w:val="Marker2"/>
    <w:basedOn w:val="Policepardfau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Policepardfaut"/>
    <w:rPr>
      <w:b/>
      <w:u w:val="single"/>
      <w:shd w:val="clear" w:color="auto" w:fill="auto"/>
    </w:rPr>
  </w:style>
  <w:style w:type="character" w:customStyle="1" w:styleId="Deleted">
    <w:name w:val="Deleted"/>
    <w:basedOn w:val="Policepardfau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p1">
    <w:name w:val="p1"/>
    <w:basedOn w:val="Normal"/>
    <w:uiPriority w:val="1"/>
    <w:rsid w:val="00715E4F"/>
    <w:pPr>
      <w:spacing w:before="0" w:after="0" w:line="259" w:lineRule="auto"/>
      <w:jc w:val="left"/>
    </w:pPr>
    <w:rPr>
      <w:rFonts w:ascii="Helvetica Neue" w:eastAsiaTheme="minorEastAsia" w:hAnsi="Helvetica Neue" w:cstheme="minorBidi"/>
      <w:color w:val="454545"/>
      <w:sz w:val="18"/>
      <w:szCs w:val="18"/>
      <w:lang w:eastAsia="en-GB"/>
    </w:rPr>
  </w:style>
  <w:style w:type="paragraph" w:styleId="Sansinterligne">
    <w:name w:val="No Spacing"/>
    <w:uiPriority w:val="1"/>
    <w:qFormat/>
    <w:rsid w:val="008D2E0C"/>
    <w:pPr>
      <w:spacing w:after="0" w:line="240" w:lineRule="auto"/>
      <w:jc w:val="both"/>
    </w:pPr>
    <w:rPr>
      <w:rFonts w:ascii="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365991">
      <w:bodyDiv w:val="1"/>
      <w:marLeft w:val="0"/>
      <w:marRight w:val="0"/>
      <w:marTop w:val="0"/>
      <w:marBottom w:val="0"/>
      <w:divBdr>
        <w:top w:val="none" w:sz="0" w:space="0" w:color="auto"/>
        <w:left w:val="none" w:sz="0" w:space="0" w:color="auto"/>
        <w:bottom w:val="none" w:sz="0" w:space="0" w:color="auto"/>
        <w:right w:val="none" w:sz="0" w:space="0" w:color="auto"/>
      </w:divBdr>
    </w:div>
    <w:div w:id="905648982">
      <w:bodyDiv w:val="1"/>
      <w:marLeft w:val="0"/>
      <w:marRight w:val="0"/>
      <w:marTop w:val="0"/>
      <w:marBottom w:val="0"/>
      <w:divBdr>
        <w:top w:val="none" w:sz="0" w:space="0" w:color="auto"/>
        <w:left w:val="none" w:sz="0" w:space="0" w:color="auto"/>
        <w:bottom w:val="none" w:sz="0" w:space="0" w:color="auto"/>
        <w:right w:val="none" w:sz="0" w:space="0" w:color="auto"/>
      </w:divBdr>
    </w:div>
    <w:div w:id="1153522691">
      <w:bodyDiv w:val="1"/>
      <w:marLeft w:val="0"/>
      <w:marRight w:val="0"/>
      <w:marTop w:val="0"/>
      <w:marBottom w:val="0"/>
      <w:divBdr>
        <w:top w:val="none" w:sz="0" w:space="0" w:color="auto"/>
        <w:left w:val="none" w:sz="0" w:space="0" w:color="auto"/>
        <w:bottom w:val="none" w:sz="0" w:space="0" w:color="auto"/>
        <w:right w:val="none" w:sz="0" w:space="0" w:color="auto"/>
      </w:divBdr>
    </w:div>
    <w:div w:id="1318260885">
      <w:bodyDiv w:val="1"/>
      <w:marLeft w:val="0"/>
      <w:marRight w:val="0"/>
      <w:marTop w:val="0"/>
      <w:marBottom w:val="0"/>
      <w:divBdr>
        <w:top w:val="none" w:sz="0" w:space="0" w:color="auto"/>
        <w:left w:val="none" w:sz="0" w:space="0" w:color="auto"/>
        <w:bottom w:val="none" w:sz="0" w:space="0" w:color="auto"/>
        <w:right w:val="none" w:sz="0" w:space="0" w:color="auto"/>
      </w:divBdr>
    </w:div>
    <w:div w:id="1440956416">
      <w:bodyDiv w:val="1"/>
      <w:marLeft w:val="0"/>
      <w:marRight w:val="0"/>
      <w:marTop w:val="0"/>
      <w:marBottom w:val="0"/>
      <w:divBdr>
        <w:top w:val="none" w:sz="0" w:space="0" w:color="auto"/>
        <w:left w:val="none" w:sz="0" w:space="0" w:color="auto"/>
        <w:bottom w:val="none" w:sz="0" w:space="0" w:color="auto"/>
        <w:right w:val="none" w:sz="0" w:space="0" w:color="auto"/>
      </w:divBdr>
    </w:div>
    <w:div w:id="1535774588">
      <w:bodyDiv w:val="1"/>
      <w:marLeft w:val="0"/>
      <w:marRight w:val="0"/>
      <w:marTop w:val="0"/>
      <w:marBottom w:val="0"/>
      <w:divBdr>
        <w:top w:val="none" w:sz="0" w:space="0" w:color="auto"/>
        <w:left w:val="none" w:sz="0" w:space="0" w:color="auto"/>
        <w:bottom w:val="none" w:sz="0" w:space="0" w:color="auto"/>
        <w:right w:val="none" w:sz="0" w:space="0" w:color="auto"/>
      </w:divBdr>
    </w:div>
    <w:div w:id="1958171644">
      <w:bodyDiv w:val="1"/>
      <w:marLeft w:val="0"/>
      <w:marRight w:val="0"/>
      <w:marTop w:val="0"/>
      <w:marBottom w:val="0"/>
      <w:divBdr>
        <w:top w:val="none" w:sz="0" w:space="0" w:color="auto"/>
        <w:left w:val="none" w:sz="0" w:space="0" w:color="auto"/>
        <w:bottom w:val="none" w:sz="0" w:space="0" w:color="auto"/>
        <w:right w:val="none" w:sz="0" w:space="0" w:color="auto"/>
      </w:divBdr>
    </w:div>
    <w:div w:id="1964996934">
      <w:bodyDiv w:val="1"/>
      <w:marLeft w:val="0"/>
      <w:marRight w:val="0"/>
      <w:marTop w:val="0"/>
      <w:marBottom w:val="0"/>
      <w:divBdr>
        <w:top w:val="none" w:sz="0" w:space="0" w:color="auto"/>
        <w:left w:val="none" w:sz="0" w:space="0" w:color="auto"/>
        <w:bottom w:val="none" w:sz="0" w:space="0" w:color="auto"/>
        <w:right w:val="none" w:sz="0" w:space="0" w:color="auto"/>
      </w:divBdr>
    </w:div>
    <w:div w:id="209770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amif-isf.be/"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uropeinbelgium.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782AF6692CB4E8097BF428225D135" ma:contentTypeVersion="7" ma:contentTypeDescription="Crée un document." ma:contentTypeScope="" ma:versionID="dc2f4626d67137780b08c2a7e9b000cb">
  <xsd:schema xmlns:xsd="http://www.w3.org/2001/XMLSchema" xmlns:xs="http://www.w3.org/2001/XMLSchema" xmlns:p="http://schemas.microsoft.com/office/2006/metadata/properties" xmlns:ns2="5843c966-cb45-4885-93fc-2ce78a94204b" xmlns:ns3="ac131f03-315b-4cd8-8e3a-6189969fd4f0" targetNamespace="http://schemas.microsoft.com/office/2006/metadata/properties" ma:root="true" ma:fieldsID="723a8bc546a816adb1c7177093903c4b" ns2:_="" ns3:_="">
    <xsd:import namespace="5843c966-cb45-4885-93fc-2ce78a94204b"/>
    <xsd:import namespace="ac131f03-315b-4cd8-8e3a-6189969fd4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3c966-cb45-4885-93fc-2ce78a9420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131f03-315b-4cd8-8e3a-6189969fd4f0"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BECBC-5120-4FE6-A616-D94987E6C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3c966-cb45-4885-93fc-2ce78a94204b"/>
    <ds:schemaRef ds:uri="ac131f03-315b-4cd8-8e3a-6189969fd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0130C-A2DA-48C9-9464-810060B69084}">
  <ds:schemaRefs>
    <ds:schemaRef ds:uri="http://schemas.microsoft.com/sharepoint/v3/contenttype/forms"/>
  </ds:schemaRefs>
</ds:datastoreItem>
</file>

<file path=customXml/itemProps3.xml><?xml version="1.0" encoding="utf-8"?>
<ds:datastoreItem xmlns:ds="http://schemas.openxmlformats.org/officeDocument/2006/customXml" ds:itemID="{75356D46-FC06-4E2C-B7DB-6E99CB91049A}">
  <ds:schemaRefs>
    <ds:schemaRef ds:uri="http://purl.org/dc/terms/"/>
    <ds:schemaRef ds:uri="ac131f03-315b-4cd8-8e3a-6189969fd4f0"/>
    <ds:schemaRef ds:uri="http://www.w3.org/XML/1998/namespace"/>
    <ds:schemaRef ds:uri="http://schemas.microsoft.com/office/2006/documentManagement/types"/>
    <ds:schemaRef ds:uri="http://purl.org/dc/dcmitype/"/>
    <ds:schemaRef ds:uri="http://schemas.microsoft.com/office/infopath/2007/PartnerControls"/>
    <ds:schemaRef ds:uri="5843c966-cb45-4885-93fc-2ce78a94204b"/>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E4EE9D0B-D9E9-4DA7-B1D8-2B07817D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224</TotalTime>
  <Pages>19</Pages>
  <Words>6519</Words>
  <Characters>35860</Characters>
  <Application>Microsoft Office Word</Application>
  <DocSecurity>0</DocSecurity>
  <Lines>298</Lines>
  <Paragraphs>84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Manager/>
  <Company/>
  <LinksUpToDate>false</LinksUpToDate>
  <CharactersWithSpaces>42295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Cattelain Natasha</dc:creator>
  <cp:keywords/>
  <dc:description/>
  <cp:lastModifiedBy>Irzycka Magdalena</cp:lastModifiedBy>
  <cp:revision>32</cp:revision>
  <cp:lastPrinted>2022-09-22T13:13:00Z</cp:lastPrinted>
  <dcterms:created xsi:type="dcterms:W3CDTF">2024-01-25T07:50:00Z</dcterms:created>
  <dcterms:modified xsi:type="dcterms:W3CDTF">2024-01-26T12:11:00Z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8.0.25.0</vt:lpwstr>
  </property>
  <property fmtid="{D5CDD505-2E9C-101B-9397-08002B2CF9AE}" pid="4" name="Last edited using">
    <vt:lpwstr>LW 8.1, Build 20220902</vt:lpwstr>
  </property>
  <property fmtid="{D5CDD505-2E9C-101B-9397-08002B2CF9AE}" pid="5" name="Created using">
    <vt:lpwstr>LW 8.0.1, Build 20220429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SG-068</vt:lpwstr>
  </property>
  <property fmtid="{D5CDD505-2E9C-101B-9397-08002B2CF9AE}" pid="13" name="ContentTypeId">
    <vt:lpwstr>0x010100199782AF6692CB4E8097BF428225D135</vt:lpwstr>
  </property>
  <property fmtid="{D5CDD505-2E9C-101B-9397-08002B2CF9AE}" pid="14" name="MSIP_Label_6bd9ddd1-4d20-43f6-abfa-fc3c07406f94_Enabled">
    <vt:lpwstr>true</vt:lpwstr>
  </property>
  <property fmtid="{D5CDD505-2E9C-101B-9397-08002B2CF9AE}" pid="15" name="MSIP_Label_6bd9ddd1-4d20-43f6-abfa-fc3c07406f94_SetDate">
    <vt:lpwstr>2022-08-23T10:50:18Z</vt:lpwstr>
  </property>
  <property fmtid="{D5CDD505-2E9C-101B-9397-08002B2CF9AE}" pid="16" name="MSIP_Label_6bd9ddd1-4d20-43f6-abfa-fc3c07406f94_Method">
    <vt:lpwstr>Standard</vt:lpwstr>
  </property>
  <property fmtid="{D5CDD505-2E9C-101B-9397-08002B2CF9AE}" pid="17" name="MSIP_Label_6bd9ddd1-4d20-43f6-abfa-fc3c07406f94_Name">
    <vt:lpwstr>Commission Use</vt:lpwstr>
  </property>
  <property fmtid="{D5CDD505-2E9C-101B-9397-08002B2CF9AE}" pid="18" name="MSIP_Label_6bd9ddd1-4d20-43f6-abfa-fc3c07406f94_SiteId">
    <vt:lpwstr>b24c8b06-522c-46fe-9080-70926f8dddb1</vt:lpwstr>
  </property>
  <property fmtid="{D5CDD505-2E9C-101B-9397-08002B2CF9AE}" pid="19" name="MSIP_Label_6bd9ddd1-4d20-43f6-abfa-fc3c07406f94_ActionId">
    <vt:lpwstr>d0a220a1-afb2-4b93-b3b6-3b67db7df70a</vt:lpwstr>
  </property>
  <property fmtid="{D5CDD505-2E9C-101B-9397-08002B2CF9AE}" pid="20" name="MSIP_Label_6bd9ddd1-4d20-43f6-abfa-fc3c07406f94_ContentBits">
    <vt:lpwstr>0</vt:lpwstr>
  </property>
  <property fmtid="{D5CDD505-2E9C-101B-9397-08002B2CF9AE}" pid="21" name="DQCStatus">
    <vt:lpwstr>Green (DQC version 03)</vt:lpwstr>
  </property>
</Properties>
</file>