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7" w:rsidRPr="0081739D" w:rsidRDefault="00915D55" w:rsidP="004B723C">
      <w:pPr>
        <w:rPr>
          <w:b/>
          <w:u w:val="single"/>
          <w:lang w:val="fr-BE"/>
        </w:rPr>
      </w:pPr>
      <w:r w:rsidRPr="0081739D">
        <w:rPr>
          <w:b/>
          <w:u w:val="single"/>
          <w:lang w:val="fr-BE"/>
        </w:rPr>
        <w:t xml:space="preserve">Aide d’urgence </w:t>
      </w:r>
      <w:r w:rsidR="001D1AE1">
        <w:rPr>
          <w:b/>
          <w:u w:val="single"/>
          <w:lang w:val="fr-BE"/>
        </w:rPr>
        <w:t xml:space="preserve">de la </w:t>
      </w:r>
      <w:r w:rsidRPr="0081739D">
        <w:rPr>
          <w:b/>
          <w:u w:val="single"/>
          <w:lang w:val="fr-BE"/>
        </w:rPr>
        <w:t>Commission européenne</w:t>
      </w:r>
    </w:p>
    <w:p w:rsidR="004B723C" w:rsidRPr="0081739D" w:rsidRDefault="004B723C" w:rsidP="004B723C">
      <w:pPr>
        <w:rPr>
          <w:lang w:val="fr-BE"/>
        </w:rPr>
      </w:pPr>
    </w:p>
    <w:p w:rsidR="004B723C" w:rsidRPr="0081739D" w:rsidRDefault="000340C4" w:rsidP="001D1AE1">
      <w:pPr>
        <w:jc w:val="both"/>
        <w:rPr>
          <w:lang w:val="fr-BE"/>
        </w:rPr>
      </w:pPr>
      <w:r w:rsidRPr="0081739D">
        <w:rPr>
          <w:lang w:val="fr-BE"/>
        </w:rPr>
        <w:t>En décembre 2015, la Commission européenne a décidé d’octroyer 5 millions d’euros d’aide d’urgence afin de soutenir</w:t>
      </w:r>
      <w:r w:rsidR="00B7010C">
        <w:rPr>
          <w:lang w:val="fr-BE"/>
        </w:rPr>
        <w:t xml:space="preserve"> les initiatives que</w:t>
      </w:r>
      <w:r w:rsidRPr="0081739D">
        <w:rPr>
          <w:lang w:val="fr-BE"/>
        </w:rPr>
        <w:t xml:space="preserve"> notre pays a dû prendre </w:t>
      </w:r>
      <w:r w:rsidR="0009619C" w:rsidRPr="0081739D">
        <w:rPr>
          <w:lang w:val="fr-BE"/>
        </w:rPr>
        <w:t xml:space="preserve">afin de faire face à </w:t>
      </w:r>
      <w:r w:rsidR="001D1AE1">
        <w:rPr>
          <w:lang w:val="fr-BE"/>
        </w:rPr>
        <w:t xml:space="preserve">l’accroissement de </w:t>
      </w:r>
      <w:r w:rsidR="006222CC">
        <w:rPr>
          <w:lang w:val="fr-BE"/>
        </w:rPr>
        <w:t>l’afflux de demandeurs d’asile</w:t>
      </w:r>
      <w:r w:rsidR="00A848D4" w:rsidRPr="0081739D">
        <w:rPr>
          <w:lang w:val="fr-BE"/>
        </w:rPr>
        <w:t xml:space="preserve"> durant la seconde moitié de l’année. Les conditions d’octroi de cette allocation sont reprises dans une convention de subvention qui a été signée en mai 2016. </w:t>
      </w:r>
    </w:p>
    <w:p w:rsidR="00FD4970" w:rsidRPr="0081739D" w:rsidRDefault="00FD4970" w:rsidP="001D1AE1">
      <w:pPr>
        <w:jc w:val="both"/>
        <w:rPr>
          <w:lang w:val="fr-BE"/>
        </w:rPr>
      </w:pPr>
    </w:p>
    <w:p w:rsidR="00FD4970" w:rsidRPr="0081739D" w:rsidRDefault="00F4008D" w:rsidP="001D1AE1">
      <w:pPr>
        <w:jc w:val="both"/>
        <w:rPr>
          <w:lang w:val="fr-BE"/>
        </w:rPr>
      </w:pPr>
      <w:r w:rsidRPr="00E343C4">
        <w:rPr>
          <w:lang w:val="fr-BE"/>
        </w:rPr>
        <w:t>Le projet subventionné par la convention courait du 1</w:t>
      </w:r>
      <w:r w:rsidRPr="00E343C4">
        <w:rPr>
          <w:vertAlign w:val="superscript"/>
          <w:lang w:val="fr-BE"/>
        </w:rPr>
        <w:t>er</w:t>
      </w:r>
      <w:r w:rsidRPr="00E343C4">
        <w:rPr>
          <w:lang w:val="fr-BE"/>
        </w:rPr>
        <w:t xml:space="preserve"> décembre 2015 au 30 juin 2016. Le but du projet était de supporter une partie des frais engendrés par les mesures </w:t>
      </w:r>
      <w:r w:rsidR="001D1AE1" w:rsidRPr="00E343C4">
        <w:rPr>
          <w:lang w:val="fr-BE"/>
        </w:rPr>
        <w:t>com</w:t>
      </w:r>
      <w:r w:rsidRPr="00E343C4">
        <w:rPr>
          <w:lang w:val="fr-BE"/>
        </w:rPr>
        <w:t>plémentaires prises afin de faire face à la crise d</w:t>
      </w:r>
      <w:r w:rsidR="001D1AE1" w:rsidRPr="00E343C4">
        <w:rPr>
          <w:lang w:val="fr-BE"/>
        </w:rPr>
        <w:t>e l</w:t>
      </w:r>
      <w:r w:rsidRPr="00E343C4">
        <w:rPr>
          <w:lang w:val="fr-BE"/>
        </w:rPr>
        <w:t>’asile, au sujet de laquelle notre gouvernement a pris une décision en août et septembre 2015.</w:t>
      </w:r>
    </w:p>
    <w:p w:rsidR="00FD4970" w:rsidRPr="0081739D" w:rsidRDefault="00FD4970" w:rsidP="001D1AE1">
      <w:pPr>
        <w:jc w:val="both"/>
        <w:rPr>
          <w:lang w:val="fr-BE"/>
        </w:rPr>
      </w:pPr>
    </w:p>
    <w:p w:rsidR="00FD4970" w:rsidRPr="0081739D" w:rsidRDefault="00F4008D" w:rsidP="001D1AE1">
      <w:pPr>
        <w:jc w:val="both"/>
        <w:rPr>
          <w:lang w:val="fr-BE"/>
        </w:rPr>
      </w:pPr>
      <w:r w:rsidRPr="0081739D">
        <w:rPr>
          <w:lang w:val="fr-BE"/>
        </w:rPr>
        <w:t xml:space="preserve">Concrètement, l’accord permettait </w:t>
      </w:r>
      <w:r w:rsidR="00B84484" w:rsidRPr="0081739D">
        <w:rPr>
          <w:lang w:val="fr-BE"/>
        </w:rPr>
        <w:t xml:space="preserve">de prendre </w:t>
      </w:r>
      <w:r w:rsidR="000745F3">
        <w:rPr>
          <w:lang w:val="fr-BE"/>
        </w:rPr>
        <w:t xml:space="preserve">partiellement </w:t>
      </w:r>
      <w:r w:rsidR="00B84484" w:rsidRPr="0081739D">
        <w:rPr>
          <w:lang w:val="fr-BE"/>
        </w:rPr>
        <w:t xml:space="preserve">en charge les frais engendrés par </w:t>
      </w:r>
      <w:r w:rsidR="00B7010C">
        <w:rPr>
          <w:lang w:val="fr-BE"/>
        </w:rPr>
        <w:t>l’engagement d’</w:t>
      </w:r>
      <w:r w:rsidR="00B84484" w:rsidRPr="0081739D">
        <w:rPr>
          <w:lang w:val="fr-BE"/>
        </w:rPr>
        <w:t xml:space="preserve">une partie du personnel supplémentaire en service à l’Office des Etrangers et au Commissariat général </w:t>
      </w:r>
      <w:r w:rsidR="005F15DF">
        <w:rPr>
          <w:lang w:val="fr-BE"/>
        </w:rPr>
        <w:t>aux</w:t>
      </w:r>
      <w:r w:rsidR="00B84484" w:rsidRPr="0081739D">
        <w:rPr>
          <w:lang w:val="fr-BE"/>
        </w:rPr>
        <w:t xml:space="preserve"> Réfugiés et </w:t>
      </w:r>
      <w:r w:rsidR="005F15DF">
        <w:rPr>
          <w:lang w:val="fr-BE"/>
        </w:rPr>
        <w:t xml:space="preserve">aux </w:t>
      </w:r>
      <w:r w:rsidR="00B84484" w:rsidRPr="0081739D">
        <w:rPr>
          <w:lang w:val="fr-BE"/>
        </w:rPr>
        <w:t>Apatrides.</w:t>
      </w:r>
    </w:p>
    <w:p w:rsidR="00FD4970" w:rsidRPr="0081739D" w:rsidRDefault="00FD4970" w:rsidP="001D1AE1">
      <w:pPr>
        <w:jc w:val="both"/>
        <w:rPr>
          <w:lang w:val="fr-BE"/>
        </w:rPr>
      </w:pPr>
    </w:p>
    <w:p w:rsidR="004B723C" w:rsidRPr="0081739D" w:rsidRDefault="00B84484" w:rsidP="001D1AE1">
      <w:pPr>
        <w:jc w:val="both"/>
        <w:rPr>
          <w:lang w:val="fr-BE"/>
        </w:rPr>
      </w:pPr>
      <w:r w:rsidRPr="0081739D">
        <w:rPr>
          <w:lang w:val="fr-BE"/>
        </w:rPr>
        <w:t xml:space="preserve">Ce personnel </w:t>
      </w:r>
      <w:r w:rsidR="0081739D">
        <w:rPr>
          <w:lang w:val="fr-BE"/>
        </w:rPr>
        <w:t>a assuré</w:t>
      </w:r>
      <w:r w:rsidR="00FD4970" w:rsidRPr="0081739D">
        <w:rPr>
          <w:lang w:val="fr-BE"/>
        </w:rPr>
        <w:t>:</w:t>
      </w:r>
    </w:p>
    <w:p w:rsidR="00FD4970" w:rsidRPr="0081739D" w:rsidRDefault="00B84484" w:rsidP="001D1AE1">
      <w:pPr>
        <w:pStyle w:val="Lijstalinea"/>
        <w:numPr>
          <w:ilvl w:val="0"/>
          <w:numId w:val="4"/>
        </w:numPr>
        <w:jc w:val="both"/>
        <w:rPr>
          <w:lang w:val="fr-BE"/>
        </w:rPr>
      </w:pPr>
      <w:r w:rsidRPr="0081739D">
        <w:rPr>
          <w:lang w:val="fr-BE"/>
        </w:rPr>
        <w:t>l’enregistrement et la prise en charge de</w:t>
      </w:r>
      <w:r w:rsidR="001D1AE1">
        <w:rPr>
          <w:lang w:val="fr-BE"/>
        </w:rPr>
        <w:t>s</w:t>
      </w:r>
      <w:r w:rsidRPr="0081739D">
        <w:rPr>
          <w:lang w:val="fr-BE"/>
        </w:rPr>
        <w:t xml:space="preserve"> nouveaux demandeurs d’asile par l’OE (52 collaborateurs); </w:t>
      </w:r>
    </w:p>
    <w:p w:rsidR="00FD4970" w:rsidRPr="0081739D" w:rsidRDefault="00B84484" w:rsidP="001D1AE1">
      <w:pPr>
        <w:pStyle w:val="Lijstalinea"/>
        <w:numPr>
          <w:ilvl w:val="0"/>
          <w:numId w:val="4"/>
        </w:numPr>
        <w:jc w:val="both"/>
        <w:rPr>
          <w:lang w:val="fr-BE"/>
        </w:rPr>
      </w:pPr>
      <w:r w:rsidRPr="0081739D">
        <w:rPr>
          <w:lang w:val="fr-BE"/>
        </w:rPr>
        <w:t xml:space="preserve">l’examen des demandes d’asile (93 collaborateurs); </w:t>
      </w:r>
    </w:p>
    <w:p w:rsidR="00FD4970" w:rsidRPr="0081739D" w:rsidRDefault="0081739D" w:rsidP="001D1AE1">
      <w:pPr>
        <w:pStyle w:val="Lijstalinea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les </w:t>
      </w:r>
      <w:r w:rsidR="00B84484" w:rsidRPr="0081739D">
        <w:rPr>
          <w:lang w:val="fr-BE"/>
        </w:rPr>
        <w:t>préparatifs administratifs du retour des illégaux et des demandeurs d’asile dont la demande a été rejetée (36 collaborateurs);</w:t>
      </w:r>
    </w:p>
    <w:p w:rsidR="00FD4970" w:rsidRPr="0081739D" w:rsidRDefault="0081739D" w:rsidP="001D1AE1">
      <w:pPr>
        <w:pStyle w:val="Lijstalinea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le </w:t>
      </w:r>
      <w:r w:rsidR="00B84484" w:rsidRPr="0081739D">
        <w:rPr>
          <w:lang w:val="fr-BE"/>
        </w:rPr>
        <w:t xml:space="preserve">renforcement de la capacité des centres fermés (97 collaborateurs). </w:t>
      </w:r>
    </w:p>
    <w:p w:rsidR="00FD4970" w:rsidRPr="0081739D" w:rsidRDefault="00FD4970" w:rsidP="001D1AE1">
      <w:pPr>
        <w:jc w:val="both"/>
        <w:rPr>
          <w:lang w:val="fr-BE"/>
        </w:rPr>
      </w:pPr>
    </w:p>
    <w:p w:rsidR="00FD4970" w:rsidRDefault="00B7010C" w:rsidP="001D1AE1">
      <w:pPr>
        <w:jc w:val="both"/>
        <w:rPr>
          <w:lang w:val="fr-BE"/>
        </w:rPr>
      </w:pPr>
      <w:r>
        <w:rPr>
          <w:lang w:val="fr-BE"/>
        </w:rPr>
        <w:t>Toutes</w:t>
      </w:r>
      <w:r w:rsidR="007A69C3" w:rsidRPr="0081739D">
        <w:rPr>
          <w:lang w:val="fr-BE"/>
        </w:rPr>
        <w:t xml:space="preserve"> ces mesures f</w:t>
      </w:r>
      <w:r>
        <w:rPr>
          <w:lang w:val="fr-BE"/>
        </w:rPr>
        <w:t>aisan</w:t>
      </w:r>
      <w:r w:rsidR="007A69C3" w:rsidRPr="0081739D">
        <w:rPr>
          <w:lang w:val="fr-BE"/>
        </w:rPr>
        <w:t>t partie de l’ensemble de</w:t>
      </w:r>
      <w:r w:rsidR="00D5498C" w:rsidRPr="0081739D">
        <w:rPr>
          <w:lang w:val="fr-BE"/>
        </w:rPr>
        <w:t>s</w:t>
      </w:r>
      <w:r w:rsidR="007A69C3" w:rsidRPr="0081739D">
        <w:rPr>
          <w:lang w:val="fr-BE"/>
        </w:rPr>
        <w:t xml:space="preserve"> décisions prises par le gouvernement </w:t>
      </w:r>
      <w:r w:rsidR="00D5498C" w:rsidRPr="0081739D">
        <w:rPr>
          <w:lang w:val="fr-BE"/>
        </w:rPr>
        <w:t xml:space="preserve">afin que les procédures d’asile puissent être réalisées de manière qualitative et dans le respect des </w:t>
      </w:r>
      <w:r w:rsidR="001D1AE1">
        <w:rPr>
          <w:lang w:val="fr-BE"/>
        </w:rPr>
        <w:t xml:space="preserve">délais et ce, </w:t>
      </w:r>
      <w:r w:rsidR="00D5498C" w:rsidRPr="0081739D">
        <w:rPr>
          <w:lang w:val="fr-BE"/>
        </w:rPr>
        <w:t>même en cas d’</w:t>
      </w:r>
      <w:r w:rsidR="006222CC">
        <w:rPr>
          <w:lang w:val="fr-BE"/>
        </w:rPr>
        <w:t>accroissement de l’</w:t>
      </w:r>
      <w:r w:rsidR="00D5498C" w:rsidRPr="0081739D">
        <w:rPr>
          <w:lang w:val="fr-BE"/>
        </w:rPr>
        <w:t xml:space="preserve">afflux </w:t>
      </w:r>
      <w:r w:rsidR="006222CC">
        <w:rPr>
          <w:lang w:val="fr-BE"/>
        </w:rPr>
        <w:t>de demandeurs d’asile</w:t>
      </w:r>
      <w:r w:rsidR="00D5498C" w:rsidRPr="0081739D">
        <w:rPr>
          <w:lang w:val="fr-BE"/>
        </w:rPr>
        <w:t xml:space="preserve">, et afin d’accueillir correctement </w:t>
      </w:r>
      <w:r>
        <w:rPr>
          <w:lang w:val="fr-BE"/>
        </w:rPr>
        <w:t>ceux-ci</w:t>
      </w:r>
      <w:r w:rsidR="00D5498C" w:rsidRPr="0081739D">
        <w:rPr>
          <w:lang w:val="fr-BE"/>
        </w:rPr>
        <w:t xml:space="preserve">, l’emploi de ces collaborateurs supplémentaires est maintenu, même </w:t>
      </w:r>
      <w:r w:rsidR="00CE4DAD">
        <w:rPr>
          <w:lang w:val="fr-BE"/>
        </w:rPr>
        <w:t xml:space="preserve">après </w:t>
      </w:r>
      <w:r w:rsidR="0081739D" w:rsidRPr="0081739D">
        <w:rPr>
          <w:lang w:val="fr-BE"/>
        </w:rPr>
        <w:t xml:space="preserve">échéance de </w:t>
      </w:r>
      <w:r w:rsidR="00D5498C" w:rsidRPr="0081739D">
        <w:rPr>
          <w:lang w:val="fr-BE"/>
        </w:rPr>
        <w:t>la période pour laquelle la Commission a prévu une allocation</w:t>
      </w:r>
      <w:r w:rsidR="0081739D" w:rsidRPr="0081739D">
        <w:rPr>
          <w:lang w:val="fr-BE"/>
        </w:rPr>
        <w:t xml:space="preserve">. </w:t>
      </w:r>
      <w:r w:rsidR="00D5498C" w:rsidRPr="0081739D">
        <w:rPr>
          <w:lang w:val="fr-BE"/>
        </w:rPr>
        <w:t xml:space="preserve"> </w:t>
      </w:r>
    </w:p>
    <w:p w:rsidR="00E343C4" w:rsidRDefault="00E343C4" w:rsidP="001D1AE1">
      <w:pPr>
        <w:jc w:val="both"/>
        <w:rPr>
          <w:lang w:val="fr-BE"/>
        </w:rPr>
      </w:pPr>
    </w:p>
    <w:p w:rsidR="00E343C4" w:rsidRDefault="00E343C4" w:rsidP="001D1AE1">
      <w:pPr>
        <w:jc w:val="both"/>
        <w:rPr>
          <w:lang w:val="fr-BE"/>
        </w:rPr>
      </w:pPr>
    </w:p>
    <w:p w:rsidR="00E343C4" w:rsidRDefault="00E343C4" w:rsidP="001D1AE1">
      <w:pPr>
        <w:jc w:val="both"/>
        <w:rPr>
          <w:lang w:val="fr-BE"/>
        </w:rPr>
      </w:pPr>
    </w:p>
    <w:p w:rsidR="00E343C4" w:rsidRDefault="00E343C4" w:rsidP="001D1AE1">
      <w:pPr>
        <w:jc w:val="both"/>
        <w:rPr>
          <w:lang w:val="fr-BE"/>
        </w:rPr>
      </w:pPr>
      <w:r w:rsidRPr="00E343C4">
        <w:drawing>
          <wp:inline distT="0" distB="0" distL="0" distR="0">
            <wp:extent cx="638175" cy="571500"/>
            <wp:effectExtent l="0" t="0" r="9525" b="0"/>
            <wp:docPr id="2" name="Afbeelding 2" descr="European Commission logo">
              <a:hlinkClick xmlns:a="http://schemas.openxmlformats.org/drawingml/2006/main" r:id="rId8" tooltip="&quot;European Union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>
                      <a:hlinkClick r:id="rId8" tooltip="&quot;European Union homep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000" b="20000"/>
                    <a:stretch/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3C4" w:rsidRPr="00E343C4" w:rsidRDefault="00E343C4" w:rsidP="001D1AE1">
      <w:pPr>
        <w:jc w:val="both"/>
        <w:rPr>
          <w:b/>
          <w:lang w:val="en-US"/>
        </w:rPr>
      </w:pPr>
      <w:r w:rsidRPr="00E343C4">
        <w:rPr>
          <w:b/>
          <w:lang w:val="en-US"/>
        </w:rPr>
        <w:t xml:space="preserve">Co-funded by the Asylum, Migration and Integration Fund </w:t>
      </w:r>
      <w:bookmarkStart w:id="0" w:name="_GoBack"/>
      <w:bookmarkEnd w:id="0"/>
      <w:r w:rsidRPr="00E343C4">
        <w:rPr>
          <w:b/>
          <w:lang w:val="en-US"/>
        </w:rPr>
        <w:t>of the European Union</w:t>
      </w:r>
    </w:p>
    <w:sectPr w:rsidR="00E343C4" w:rsidRPr="00E3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F" w:rsidRDefault="000D6B8F" w:rsidP="002A234D">
      <w:r>
        <w:separator/>
      </w:r>
    </w:p>
  </w:endnote>
  <w:endnote w:type="continuationSeparator" w:id="0">
    <w:p w:rsidR="000D6B8F" w:rsidRDefault="000D6B8F" w:rsidP="002A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F" w:rsidRDefault="000D6B8F" w:rsidP="002A234D">
      <w:r>
        <w:separator/>
      </w:r>
    </w:p>
  </w:footnote>
  <w:footnote w:type="continuationSeparator" w:id="0">
    <w:p w:rsidR="000D6B8F" w:rsidRDefault="000D6B8F" w:rsidP="002A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E77"/>
    <w:multiLevelType w:val="multilevel"/>
    <w:tmpl w:val="1B96AD68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>
    <w:nsid w:val="45FF02EB"/>
    <w:multiLevelType w:val="hybridMultilevel"/>
    <w:tmpl w:val="13D89870"/>
    <w:lvl w:ilvl="0" w:tplc="441EB9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41B13"/>
    <w:multiLevelType w:val="singleLevel"/>
    <w:tmpl w:val="2EC82C78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C"/>
    <w:rsid w:val="000340C4"/>
    <w:rsid w:val="000745F3"/>
    <w:rsid w:val="0009619C"/>
    <w:rsid w:val="000C6337"/>
    <w:rsid w:val="000D6B8F"/>
    <w:rsid w:val="001416B5"/>
    <w:rsid w:val="001D1AE1"/>
    <w:rsid w:val="002066FF"/>
    <w:rsid w:val="002A234D"/>
    <w:rsid w:val="0040537F"/>
    <w:rsid w:val="004B723C"/>
    <w:rsid w:val="005F15DF"/>
    <w:rsid w:val="006222CC"/>
    <w:rsid w:val="007A69C3"/>
    <w:rsid w:val="0081739D"/>
    <w:rsid w:val="00915D55"/>
    <w:rsid w:val="00A848D4"/>
    <w:rsid w:val="00AA1386"/>
    <w:rsid w:val="00B2360B"/>
    <w:rsid w:val="00B7010C"/>
    <w:rsid w:val="00B84484"/>
    <w:rsid w:val="00CE4DAD"/>
    <w:rsid w:val="00D5498C"/>
    <w:rsid w:val="00E31350"/>
    <w:rsid w:val="00E343C4"/>
    <w:rsid w:val="00F4008D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6FF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1386"/>
    <w:pPr>
      <w:spacing w:after="0" w:line="240" w:lineRule="auto"/>
    </w:pPr>
    <w:rPr>
      <w:rFonts w:ascii="Arial" w:hAnsi="Arial"/>
    </w:rPr>
  </w:style>
  <w:style w:type="paragraph" w:styleId="Voetnoottekst">
    <w:name w:val="footnote text"/>
    <w:basedOn w:val="Standaard"/>
    <w:link w:val="VoetnoottekstChar"/>
    <w:semiHidden/>
    <w:unhideWhenUsed/>
    <w:rsid w:val="002A234D"/>
    <w:pPr>
      <w:ind w:left="720" w:hanging="72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A234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chnicalBlockChar">
    <w:name w:val="Technical Block Char"/>
    <w:basedOn w:val="Standaardalinea-lettertype"/>
    <w:link w:val="TechnicalBlock"/>
    <w:locked/>
    <w:rsid w:val="002A234D"/>
    <w:rPr>
      <w:sz w:val="24"/>
      <w:szCs w:val="24"/>
      <w:lang w:val="en-GB"/>
    </w:rPr>
  </w:style>
  <w:style w:type="paragraph" w:customStyle="1" w:styleId="TechnicalBlock">
    <w:name w:val="Technical Block"/>
    <w:basedOn w:val="Standaard"/>
    <w:next w:val="Standaard"/>
    <w:link w:val="TechnicalBlockChar"/>
    <w:rsid w:val="002A234D"/>
    <w:pPr>
      <w:spacing w:after="240"/>
      <w:jc w:val="center"/>
    </w:pPr>
    <w:rPr>
      <w:rFonts w:eastAsiaTheme="minorHAnsi" w:cstheme="minorBidi"/>
    </w:rPr>
  </w:style>
  <w:style w:type="paragraph" w:customStyle="1" w:styleId="FinalLine">
    <w:name w:val="Final Line"/>
    <w:basedOn w:val="Standaard"/>
    <w:next w:val="Standaard"/>
    <w:rsid w:val="002A234D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Pointabc">
    <w:name w:val="Point abc"/>
    <w:basedOn w:val="Standaard"/>
    <w:rsid w:val="002A234D"/>
    <w:pPr>
      <w:numPr>
        <w:ilvl w:val="1"/>
        <w:numId w:val="1"/>
      </w:numPr>
      <w:spacing w:before="200"/>
    </w:pPr>
  </w:style>
  <w:style w:type="paragraph" w:customStyle="1" w:styleId="Pointabc1">
    <w:name w:val="Point abc (1)"/>
    <w:basedOn w:val="Standaard"/>
    <w:rsid w:val="002A234D"/>
    <w:pPr>
      <w:numPr>
        <w:ilvl w:val="3"/>
        <w:numId w:val="1"/>
      </w:numPr>
      <w:outlineLvl w:val="0"/>
    </w:pPr>
  </w:style>
  <w:style w:type="paragraph" w:customStyle="1" w:styleId="Pointabc2">
    <w:name w:val="Point abc (2)"/>
    <w:basedOn w:val="Standaard"/>
    <w:rsid w:val="002A234D"/>
    <w:pPr>
      <w:numPr>
        <w:ilvl w:val="5"/>
        <w:numId w:val="1"/>
      </w:numPr>
      <w:outlineLvl w:val="1"/>
    </w:pPr>
  </w:style>
  <w:style w:type="paragraph" w:customStyle="1" w:styleId="Pointabc3">
    <w:name w:val="Point abc (3)"/>
    <w:basedOn w:val="Standaard"/>
    <w:rsid w:val="002A234D"/>
    <w:pPr>
      <w:numPr>
        <w:ilvl w:val="7"/>
        <w:numId w:val="1"/>
      </w:numPr>
      <w:outlineLvl w:val="2"/>
    </w:pPr>
  </w:style>
  <w:style w:type="paragraph" w:customStyle="1" w:styleId="Pointabc4">
    <w:name w:val="Point abc (4)"/>
    <w:basedOn w:val="Standaard"/>
    <w:rsid w:val="002A234D"/>
    <w:pPr>
      <w:numPr>
        <w:ilvl w:val="8"/>
        <w:numId w:val="1"/>
      </w:numPr>
      <w:outlineLvl w:val="3"/>
    </w:pPr>
  </w:style>
  <w:style w:type="paragraph" w:customStyle="1" w:styleId="Point123">
    <w:name w:val="Point 123"/>
    <w:basedOn w:val="Standaard"/>
    <w:rsid w:val="002A234D"/>
    <w:pPr>
      <w:numPr>
        <w:numId w:val="1"/>
      </w:numPr>
      <w:spacing w:before="200"/>
    </w:pPr>
  </w:style>
  <w:style w:type="paragraph" w:customStyle="1" w:styleId="Point1231">
    <w:name w:val="Point 123 (1)"/>
    <w:basedOn w:val="Standaard"/>
    <w:rsid w:val="002A234D"/>
    <w:pPr>
      <w:numPr>
        <w:ilvl w:val="2"/>
        <w:numId w:val="1"/>
      </w:numPr>
      <w:outlineLvl w:val="0"/>
    </w:pPr>
  </w:style>
  <w:style w:type="paragraph" w:customStyle="1" w:styleId="Point1232">
    <w:name w:val="Point 123 (2)"/>
    <w:basedOn w:val="Standaard"/>
    <w:rsid w:val="002A234D"/>
    <w:pPr>
      <w:numPr>
        <w:ilvl w:val="4"/>
        <w:numId w:val="1"/>
      </w:numPr>
      <w:outlineLvl w:val="1"/>
    </w:pPr>
  </w:style>
  <w:style w:type="paragraph" w:customStyle="1" w:styleId="Point1233">
    <w:name w:val="Point 123 (3)"/>
    <w:basedOn w:val="Standaard"/>
    <w:rsid w:val="002A234D"/>
    <w:pPr>
      <w:numPr>
        <w:ilvl w:val="6"/>
        <w:numId w:val="1"/>
      </w:numPr>
      <w:outlineLvl w:val="2"/>
    </w:pPr>
  </w:style>
  <w:style w:type="paragraph" w:customStyle="1" w:styleId="Dash1">
    <w:name w:val="Dash 1"/>
    <w:basedOn w:val="Standaard"/>
    <w:rsid w:val="002A234D"/>
    <w:pPr>
      <w:numPr>
        <w:numId w:val="2"/>
      </w:numPr>
      <w:outlineLvl w:val="0"/>
    </w:pPr>
  </w:style>
  <w:style w:type="paragraph" w:customStyle="1" w:styleId="NB">
    <w:name w:val="NB"/>
    <w:basedOn w:val="Standaard"/>
    <w:rsid w:val="002A234D"/>
    <w:pPr>
      <w:tabs>
        <w:tab w:val="left" w:pos="992"/>
      </w:tabs>
      <w:spacing w:before="200"/>
      <w:ind w:left="992" w:hanging="992"/>
    </w:pPr>
  </w:style>
  <w:style w:type="character" w:styleId="Voetnootmarkering">
    <w:name w:val="footnote reference"/>
    <w:semiHidden/>
    <w:unhideWhenUsed/>
    <w:rsid w:val="002A234D"/>
    <w:rPr>
      <w:b/>
      <w:bCs w:val="0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34D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FD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6FF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1386"/>
    <w:pPr>
      <w:spacing w:after="0" w:line="240" w:lineRule="auto"/>
    </w:pPr>
    <w:rPr>
      <w:rFonts w:ascii="Arial" w:hAnsi="Arial"/>
    </w:rPr>
  </w:style>
  <w:style w:type="paragraph" w:styleId="Voetnoottekst">
    <w:name w:val="footnote text"/>
    <w:basedOn w:val="Standaard"/>
    <w:link w:val="VoetnoottekstChar"/>
    <w:semiHidden/>
    <w:unhideWhenUsed/>
    <w:rsid w:val="002A234D"/>
    <w:pPr>
      <w:ind w:left="720" w:hanging="72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A234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chnicalBlockChar">
    <w:name w:val="Technical Block Char"/>
    <w:basedOn w:val="Standaardalinea-lettertype"/>
    <w:link w:val="TechnicalBlock"/>
    <w:locked/>
    <w:rsid w:val="002A234D"/>
    <w:rPr>
      <w:sz w:val="24"/>
      <w:szCs w:val="24"/>
      <w:lang w:val="en-GB"/>
    </w:rPr>
  </w:style>
  <w:style w:type="paragraph" w:customStyle="1" w:styleId="TechnicalBlock">
    <w:name w:val="Technical Block"/>
    <w:basedOn w:val="Standaard"/>
    <w:next w:val="Standaard"/>
    <w:link w:val="TechnicalBlockChar"/>
    <w:rsid w:val="002A234D"/>
    <w:pPr>
      <w:spacing w:after="240"/>
      <w:jc w:val="center"/>
    </w:pPr>
    <w:rPr>
      <w:rFonts w:eastAsiaTheme="minorHAnsi" w:cstheme="minorBidi"/>
    </w:rPr>
  </w:style>
  <w:style w:type="paragraph" w:customStyle="1" w:styleId="FinalLine">
    <w:name w:val="Final Line"/>
    <w:basedOn w:val="Standaard"/>
    <w:next w:val="Standaard"/>
    <w:rsid w:val="002A234D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Pointabc">
    <w:name w:val="Point abc"/>
    <w:basedOn w:val="Standaard"/>
    <w:rsid w:val="002A234D"/>
    <w:pPr>
      <w:numPr>
        <w:ilvl w:val="1"/>
        <w:numId w:val="1"/>
      </w:numPr>
      <w:spacing w:before="200"/>
    </w:pPr>
  </w:style>
  <w:style w:type="paragraph" w:customStyle="1" w:styleId="Pointabc1">
    <w:name w:val="Point abc (1)"/>
    <w:basedOn w:val="Standaard"/>
    <w:rsid w:val="002A234D"/>
    <w:pPr>
      <w:numPr>
        <w:ilvl w:val="3"/>
        <w:numId w:val="1"/>
      </w:numPr>
      <w:outlineLvl w:val="0"/>
    </w:pPr>
  </w:style>
  <w:style w:type="paragraph" w:customStyle="1" w:styleId="Pointabc2">
    <w:name w:val="Point abc (2)"/>
    <w:basedOn w:val="Standaard"/>
    <w:rsid w:val="002A234D"/>
    <w:pPr>
      <w:numPr>
        <w:ilvl w:val="5"/>
        <w:numId w:val="1"/>
      </w:numPr>
      <w:outlineLvl w:val="1"/>
    </w:pPr>
  </w:style>
  <w:style w:type="paragraph" w:customStyle="1" w:styleId="Pointabc3">
    <w:name w:val="Point abc (3)"/>
    <w:basedOn w:val="Standaard"/>
    <w:rsid w:val="002A234D"/>
    <w:pPr>
      <w:numPr>
        <w:ilvl w:val="7"/>
        <w:numId w:val="1"/>
      </w:numPr>
      <w:outlineLvl w:val="2"/>
    </w:pPr>
  </w:style>
  <w:style w:type="paragraph" w:customStyle="1" w:styleId="Pointabc4">
    <w:name w:val="Point abc (4)"/>
    <w:basedOn w:val="Standaard"/>
    <w:rsid w:val="002A234D"/>
    <w:pPr>
      <w:numPr>
        <w:ilvl w:val="8"/>
        <w:numId w:val="1"/>
      </w:numPr>
      <w:outlineLvl w:val="3"/>
    </w:pPr>
  </w:style>
  <w:style w:type="paragraph" w:customStyle="1" w:styleId="Point123">
    <w:name w:val="Point 123"/>
    <w:basedOn w:val="Standaard"/>
    <w:rsid w:val="002A234D"/>
    <w:pPr>
      <w:numPr>
        <w:numId w:val="1"/>
      </w:numPr>
      <w:spacing w:before="200"/>
    </w:pPr>
  </w:style>
  <w:style w:type="paragraph" w:customStyle="1" w:styleId="Point1231">
    <w:name w:val="Point 123 (1)"/>
    <w:basedOn w:val="Standaard"/>
    <w:rsid w:val="002A234D"/>
    <w:pPr>
      <w:numPr>
        <w:ilvl w:val="2"/>
        <w:numId w:val="1"/>
      </w:numPr>
      <w:outlineLvl w:val="0"/>
    </w:pPr>
  </w:style>
  <w:style w:type="paragraph" w:customStyle="1" w:styleId="Point1232">
    <w:name w:val="Point 123 (2)"/>
    <w:basedOn w:val="Standaard"/>
    <w:rsid w:val="002A234D"/>
    <w:pPr>
      <w:numPr>
        <w:ilvl w:val="4"/>
        <w:numId w:val="1"/>
      </w:numPr>
      <w:outlineLvl w:val="1"/>
    </w:pPr>
  </w:style>
  <w:style w:type="paragraph" w:customStyle="1" w:styleId="Point1233">
    <w:name w:val="Point 123 (3)"/>
    <w:basedOn w:val="Standaard"/>
    <w:rsid w:val="002A234D"/>
    <w:pPr>
      <w:numPr>
        <w:ilvl w:val="6"/>
        <w:numId w:val="1"/>
      </w:numPr>
      <w:outlineLvl w:val="2"/>
    </w:pPr>
  </w:style>
  <w:style w:type="paragraph" w:customStyle="1" w:styleId="Dash1">
    <w:name w:val="Dash 1"/>
    <w:basedOn w:val="Standaard"/>
    <w:rsid w:val="002A234D"/>
    <w:pPr>
      <w:numPr>
        <w:numId w:val="2"/>
      </w:numPr>
      <w:outlineLvl w:val="0"/>
    </w:pPr>
  </w:style>
  <w:style w:type="paragraph" w:customStyle="1" w:styleId="NB">
    <w:name w:val="NB"/>
    <w:basedOn w:val="Standaard"/>
    <w:rsid w:val="002A234D"/>
    <w:pPr>
      <w:tabs>
        <w:tab w:val="left" w:pos="992"/>
      </w:tabs>
      <w:spacing w:before="200"/>
      <w:ind w:left="992" w:hanging="992"/>
    </w:pPr>
  </w:style>
  <w:style w:type="character" w:styleId="Voetnootmarkering">
    <w:name w:val="footnote reference"/>
    <w:semiHidden/>
    <w:unhideWhenUsed/>
    <w:rsid w:val="002A234D"/>
    <w:rPr>
      <w:b/>
      <w:bCs w:val="0"/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23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34D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FD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index_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DGIP-ADIB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Rosseel Philippe</dc:creator>
  <cp:lastModifiedBy>Rosseel Philippe</cp:lastModifiedBy>
  <cp:revision>2</cp:revision>
  <cp:lastPrinted>2016-08-22T10:14:00Z</cp:lastPrinted>
  <dcterms:created xsi:type="dcterms:W3CDTF">2016-08-23T11:15:00Z</dcterms:created>
  <dcterms:modified xsi:type="dcterms:W3CDTF">2016-08-23T11:15:00Z</dcterms:modified>
</cp:coreProperties>
</file>